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E" w:rsidRPr="00953FF8" w:rsidRDefault="002E5AC1" w:rsidP="00F95E4E">
      <w:pPr>
        <w:rPr>
          <w:rFonts w:ascii="Garamond" w:eastAsia="Arial" w:hAnsi="Garamond" w:cs="Times New Roman"/>
          <w:b/>
          <w:color w:val="0A6345"/>
          <w:sz w:val="32"/>
          <w:szCs w:val="32"/>
        </w:rPr>
      </w:pPr>
      <w:bookmarkStart w:id="0" w:name="_GoBack"/>
      <w:bookmarkEnd w:id="0"/>
      <w:r w:rsidRPr="00953FF8">
        <w:rPr>
          <w:rFonts w:ascii="Garamond" w:eastAsia="Arial" w:hAnsi="Garamond" w:cs="Times New Roman"/>
          <w:b/>
          <w:color w:val="0A6345"/>
          <w:sz w:val="32"/>
          <w:szCs w:val="32"/>
        </w:rPr>
        <w:t>Macroeconomic</w:t>
      </w:r>
      <w:r w:rsidRPr="00953FF8">
        <w:rPr>
          <w:rFonts w:ascii="Garamond" w:hAnsi="Garamond"/>
          <w:sz w:val="32"/>
          <w:szCs w:val="32"/>
        </w:rPr>
        <w:t xml:space="preserve"> </w:t>
      </w:r>
      <w:r w:rsidRPr="00953FF8">
        <w:rPr>
          <w:rFonts w:ascii="Garamond" w:eastAsia="Arial" w:hAnsi="Garamond" w:cs="Times New Roman"/>
          <w:b/>
          <w:color w:val="0A6345"/>
          <w:sz w:val="32"/>
          <w:szCs w:val="32"/>
        </w:rPr>
        <w:t>Overview</w:t>
      </w:r>
      <w:r w:rsidR="001F0D8C">
        <w:rPr>
          <w:rFonts w:ascii="Garamond" w:hAnsi="Garamond"/>
          <w:sz w:val="32"/>
          <w:szCs w:val="32"/>
        </w:rPr>
        <w:pict>
          <v:rect id="_x0000_i1025" style="width:468pt;height:1pt" o:hralign="center" o:hrstd="t" o:hrnoshade="t" o:hr="t" fillcolor="#ffc000" stroked="f"/>
        </w:pict>
      </w:r>
    </w:p>
    <w:tbl>
      <w:tblPr>
        <w:tblpPr w:leftFromText="180" w:rightFromText="180" w:vertAnchor="text" w:horzAnchor="margin" w:tblpX="108" w:tblpY="2274"/>
        <w:tblW w:w="0" w:type="auto"/>
        <w:tblLayout w:type="fixed"/>
        <w:tblLook w:val="04A0" w:firstRow="1" w:lastRow="0" w:firstColumn="1" w:lastColumn="0" w:noHBand="0" w:noVBand="1"/>
      </w:tblPr>
      <w:tblGrid>
        <w:gridCol w:w="2178"/>
        <w:gridCol w:w="1980"/>
        <w:gridCol w:w="1890"/>
      </w:tblGrid>
      <w:tr w:rsidR="00071792" w:rsidRPr="000A6DE6" w:rsidTr="00071792">
        <w:trPr>
          <w:trHeight w:val="315"/>
        </w:trPr>
        <w:tc>
          <w:tcPr>
            <w:tcW w:w="2178" w:type="dxa"/>
            <w:tcBorders>
              <w:top w:val="single" w:sz="4" w:space="0" w:color="auto"/>
              <w:left w:val="single" w:sz="4" w:space="0" w:color="auto"/>
              <w:bottom w:val="nil"/>
              <w:right w:val="nil"/>
            </w:tcBorders>
            <w:shd w:val="clear" w:color="000000" w:fill="0070C0"/>
            <w:noWrap/>
            <w:vAlign w:val="bottom"/>
            <w:hideMark/>
          </w:tcPr>
          <w:p w:rsidR="00071792" w:rsidRPr="000A6DE6" w:rsidRDefault="00071792" w:rsidP="00071792">
            <w:pPr>
              <w:spacing w:after="0" w:line="240" w:lineRule="auto"/>
              <w:rPr>
                <w:rFonts w:ascii="Garamond" w:eastAsia="Times New Roman" w:hAnsi="Garamond" w:cs="Times New Roman"/>
                <w:b/>
                <w:bCs/>
                <w:color w:val="FFFFFF"/>
              </w:rPr>
            </w:pPr>
            <w:r w:rsidRPr="000A6DE6">
              <w:rPr>
                <w:rFonts w:ascii="Garamond" w:eastAsia="Times New Roman" w:hAnsi="Garamond" w:cs="Times New Roman"/>
                <w:b/>
                <w:bCs/>
                <w:color w:val="FFFFFF"/>
              </w:rPr>
              <w:t>U.S. Stocks</w:t>
            </w:r>
          </w:p>
        </w:tc>
        <w:tc>
          <w:tcPr>
            <w:tcW w:w="1980" w:type="dxa"/>
            <w:tcBorders>
              <w:top w:val="single" w:sz="4" w:space="0" w:color="auto"/>
              <w:left w:val="nil"/>
              <w:bottom w:val="single" w:sz="4" w:space="0" w:color="auto"/>
              <w:right w:val="nil"/>
            </w:tcBorders>
            <w:shd w:val="clear" w:color="000000" w:fill="0070C0"/>
            <w:noWrap/>
            <w:vAlign w:val="bottom"/>
            <w:hideMark/>
          </w:tcPr>
          <w:p w:rsidR="00071792" w:rsidRPr="000A6DE6" w:rsidRDefault="00071792" w:rsidP="0007179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c>
          <w:tcPr>
            <w:tcW w:w="1890" w:type="dxa"/>
            <w:tcBorders>
              <w:top w:val="single" w:sz="4" w:space="0" w:color="auto"/>
              <w:left w:val="nil"/>
              <w:bottom w:val="nil"/>
              <w:right w:val="single" w:sz="4" w:space="0" w:color="auto"/>
            </w:tcBorders>
            <w:shd w:val="clear" w:color="000000" w:fill="0070C0"/>
            <w:noWrap/>
            <w:vAlign w:val="bottom"/>
            <w:hideMark/>
          </w:tcPr>
          <w:p w:rsidR="00071792" w:rsidRPr="000A6DE6" w:rsidRDefault="00071792" w:rsidP="0007179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r>
      <w:tr w:rsidR="00071792" w:rsidRPr="000A6DE6" w:rsidTr="00071792">
        <w:trPr>
          <w:trHeight w:val="39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792" w:rsidRPr="000A6DE6" w:rsidRDefault="00071792" w:rsidP="00071792">
            <w:pPr>
              <w:spacing w:after="0" w:line="240" w:lineRule="auto"/>
              <w:rPr>
                <w:rFonts w:ascii="Garamond" w:eastAsia="Times New Roman" w:hAnsi="Garamond" w:cs="Times New Roman"/>
                <w:b/>
                <w:bCs/>
                <w:color w:val="000000"/>
              </w:rPr>
            </w:pPr>
            <w:r w:rsidRPr="000A6DE6">
              <w:rPr>
                <w:rFonts w:ascii="Garamond" w:eastAsia="Times New Roman" w:hAnsi="Garamond" w:cs="Times New Roman"/>
                <w:b/>
                <w:bCs/>
                <w:color w:val="000000"/>
              </w:rPr>
              <w:t>Index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792" w:rsidRPr="000A6DE6" w:rsidRDefault="00071792" w:rsidP="0007179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Week-to-Date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71792" w:rsidRPr="000A6DE6" w:rsidRDefault="00071792" w:rsidP="0007179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Year-to-Date</w:t>
            </w:r>
          </w:p>
        </w:tc>
      </w:tr>
      <w:tr w:rsidR="00071792" w:rsidRPr="000A6DE6" w:rsidTr="00071792">
        <w:trPr>
          <w:trHeight w:val="353"/>
        </w:trPr>
        <w:tc>
          <w:tcPr>
            <w:tcW w:w="2178" w:type="dxa"/>
            <w:tcBorders>
              <w:top w:val="nil"/>
              <w:left w:val="single" w:sz="4" w:space="0" w:color="auto"/>
              <w:bottom w:val="nil"/>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DJIA</w:t>
            </w:r>
          </w:p>
        </w:tc>
        <w:tc>
          <w:tcPr>
            <w:tcW w:w="1980" w:type="dxa"/>
            <w:tcBorders>
              <w:top w:val="nil"/>
              <w:left w:val="single" w:sz="4" w:space="0" w:color="auto"/>
              <w:bottom w:val="nil"/>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-0.31</w:t>
            </w:r>
            <w:r w:rsidR="00071792"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071792" w:rsidRPr="000A6DE6" w:rsidRDefault="00BB3AE1" w:rsidP="002D4B39">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w:t>
            </w:r>
            <w:r w:rsidR="002D4B39">
              <w:rPr>
                <w:rFonts w:ascii="Garamond" w:eastAsia="Times New Roman" w:hAnsi="Garamond" w:cs="Times New Roman"/>
                <w:color w:val="000000"/>
              </w:rPr>
              <w:t>13</w:t>
            </w:r>
            <w:r w:rsidR="00071792" w:rsidRPr="000A6DE6">
              <w:rPr>
                <w:rFonts w:ascii="Garamond" w:eastAsia="Times New Roman" w:hAnsi="Garamond" w:cs="Times New Roman"/>
                <w:color w:val="000000"/>
              </w:rPr>
              <w:t>%</w:t>
            </w:r>
          </w:p>
        </w:tc>
      </w:tr>
      <w:tr w:rsidR="00071792" w:rsidRPr="000A6DE6" w:rsidTr="00071792">
        <w:trPr>
          <w:trHeight w:val="345"/>
        </w:trPr>
        <w:tc>
          <w:tcPr>
            <w:tcW w:w="2178" w:type="dxa"/>
            <w:tcBorders>
              <w:top w:val="nil"/>
              <w:left w:val="single" w:sz="4" w:space="0" w:color="auto"/>
              <w:bottom w:val="nil"/>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S&amp;P 500</w:t>
            </w:r>
          </w:p>
        </w:tc>
        <w:tc>
          <w:tcPr>
            <w:tcW w:w="1980" w:type="dxa"/>
            <w:tcBorders>
              <w:top w:val="nil"/>
              <w:left w:val="single" w:sz="4" w:space="0" w:color="auto"/>
              <w:bottom w:val="nil"/>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-0.44</w:t>
            </w:r>
            <w:r w:rsidR="00071792"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071792" w:rsidRPr="000A6DE6" w:rsidRDefault="00BB3AE1" w:rsidP="002D4B39">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w:t>
            </w:r>
            <w:r w:rsidR="002D4B39">
              <w:rPr>
                <w:rFonts w:ascii="Garamond" w:eastAsia="Times New Roman" w:hAnsi="Garamond" w:cs="Times New Roman"/>
                <w:color w:val="000000"/>
              </w:rPr>
              <w:t>40</w:t>
            </w:r>
            <w:r w:rsidR="00071792" w:rsidRPr="000A6DE6">
              <w:rPr>
                <w:rFonts w:ascii="Garamond" w:eastAsia="Times New Roman" w:hAnsi="Garamond" w:cs="Times New Roman"/>
                <w:color w:val="000000"/>
              </w:rPr>
              <w:t>%</w:t>
            </w:r>
          </w:p>
        </w:tc>
      </w:tr>
      <w:tr w:rsidR="00071792" w:rsidRPr="000A6DE6" w:rsidTr="00071792">
        <w:trPr>
          <w:trHeight w:val="363"/>
        </w:trPr>
        <w:tc>
          <w:tcPr>
            <w:tcW w:w="2178" w:type="dxa"/>
            <w:tcBorders>
              <w:top w:val="nil"/>
              <w:left w:val="single" w:sz="4" w:space="0" w:color="auto"/>
              <w:bottom w:val="nil"/>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NASDAQ Composite</w:t>
            </w:r>
          </w:p>
        </w:tc>
        <w:tc>
          <w:tcPr>
            <w:tcW w:w="1980" w:type="dxa"/>
            <w:tcBorders>
              <w:top w:val="nil"/>
              <w:left w:val="single" w:sz="4" w:space="0" w:color="auto"/>
              <w:bottom w:val="nil"/>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-1.70</w:t>
            </w:r>
            <w:r w:rsidR="00071792"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5.69</w:t>
            </w:r>
            <w:r w:rsidR="00071792" w:rsidRPr="000A6DE6">
              <w:rPr>
                <w:rFonts w:ascii="Garamond" w:eastAsia="Times New Roman" w:hAnsi="Garamond" w:cs="Times New Roman"/>
                <w:color w:val="000000"/>
              </w:rPr>
              <w:t>%</w:t>
            </w:r>
          </w:p>
        </w:tc>
      </w:tr>
      <w:tr w:rsidR="00071792" w:rsidRPr="000A6DE6" w:rsidTr="00071792">
        <w:trPr>
          <w:trHeight w:val="363"/>
        </w:trPr>
        <w:tc>
          <w:tcPr>
            <w:tcW w:w="2178" w:type="dxa"/>
            <w:tcBorders>
              <w:top w:val="nil"/>
              <w:left w:val="single" w:sz="4" w:space="0" w:color="auto"/>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Russell 2000</w:t>
            </w:r>
          </w:p>
        </w:tc>
        <w:tc>
          <w:tcPr>
            <w:tcW w:w="1980" w:type="dxa"/>
            <w:tcBorders>
              <w:top w:val="nil"/>
              <w:left w:val="single" w:sz="4" w:space="0" w:color="auto"/>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-3.11</w:t>
            </w:r>
            <w:r w:rsidR="00071792" w:rsidRPr="000A6DE6">
              <w:rPr>
                <w:rFonts w:ascii="Garamond" w:eastAsia="Times New Roman" w:hAnsi="Garamond" w:cs="Times New Roman"/>
                <w:color w:val="000000"/>
              </w:rPr>
              <w:t>%</w:t>
            </w:r>
          </w:p>
        </w:tc>
        <w:tc>
          <w:tcPr>
            <w:tcW w:w="1890" w:type="dxa"/>
            <w:tcBorders>
              <w:top w:val="nil"/>
              <w:left w:val="nil"/>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1.94</w:t>
            </w:r>
            <w:r w:rsidR="00071792" w:rsidRPr="000A6DE6">
              <w:rPr>
                <w:rFonts w:ascii="Garamond" w:eastAsia="Times New Roman" w:hAnsi="Garamond" w:cs="Times New Roman"/>
                <w:color w:val="000000"/>
              </w:rPr>
              <w:t>%</w:t>
            </w:r>
          </w:p>
        </w:tc>
      </w:tr>
      <w:tr w:rsidR="00071792" w:rsidRPr="000A6DE6" w:rsidTr="00071792">
        <w:trPr>
          <w:trHeight w:val="30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VIX</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71792" w:rsidRPr="000A6DE6" w:rsidRDefault="002D4B39"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3.34</w:t>
            </w:r>
            <w:r w:rsidR="00071792" w:rsidRPr="000A6DE6">
              <w:rPr>
                <w:rFonts w:ascii="Garamond" w:eastAsia="Times New Roman" w:hAnsi="Garamond" w:cs="Times New Roman"/>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071792" w:rsidRPr="000A6DE6" w:rsidRDefault="00071792" w:rsidP="002D4B39">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w:t>
            </w:r>
            <w:r w:rsidR="00BB3AE1">
              <w:rPr>
                <w:rFonts w:ascii="Garamond" w:eastAsia="Times New Roman" w:hAnsi="Garamond" w:cs="Times New Roman"/>
                <w:color w:val="000000"/>
              </w:rPr>
              <w:t>3</w:t>
            </w:r>
            <w:r w:rsidR="002D4B39">
              <w:rPr>
                <w:rFonts w:ascii="Garamond" w:eastAsia="Times New Roman" w:hAnsi="Garamond" w:cs="Times New Roman"/>
                <w:color w:val="000000"/>
              </w:rPr>
              <w:t>3.8</w:t>
            </w:r>
            <w:r w:rsidR="00BB3AE1">
              <w:rPr>
                <w:rFonts w:ascii="Garamond" w:eastAsia="Times New Roman" w:hAnsi="Garamond" w:cs="Times New Roman"/>
                <w:color w:val="000000"/>
              </w:rPr>
              <w:t>5</w:t>
            </w:r>
            <w:r w:rsidRPr="000A6DE6">
              <w:rPr>
                <w:rFonts w:ascii="Garamond" w:eastAsia="Times New Roman" w:hAnsi="Garamond" w:cs="Times New Roman"/>
                <w:color w:val="000000"/>
              </w:rPr>
              <w:t>%</w:t>
            </w:r>
          </w:p>
        </w:tc>
      </w:tr>
    </w:tbl>
    <w:p w:rsidR="00926DA1" w:rsidRPr="00BB3AE1" w:rsidRDefault="00282257" w:rsidP="00926DA1">
      <w:pPr>
        <w:contextualSpacing/>
        <w:jc w:val="both"/>
        <w:rPr>
          <w:rFonts w:ascii="Garamond" w:hAnsi="Garamond"/>
        </w:rPr>
      </w:pPr>
      <w:r w:rsidRPr="00BB3AE1">
        <w:rPr>
          <w:rFonts w:ascii="Garamond" w:hAnsi="Garamond"/>
        </w:rPr>
        <w:t>During t</w:t>
      </w:r>
      <w:r w:rsidR="00F95E4E" w:rsidRPr="00BB3AE1">
        <w:rPr>
          <w:rFonts w:ascii="Garamond" w:hAnsi="Garamond"/>
        </w:rPr>
        <w:t xml:space="preserve">his past </w:t>
      </w:r>
      <w:r w:rsidRPr="00BB3AE1">
        <w:rPr>
          <w:rFonts w:ascii="Garamond" w:hAnsi="Garamond"/>
        </w:rPr>
        <w:t xml:space="preserve">trading </w:t>
      </w:r>
      <w:r w:rsidR="00F95E4E" w:rsidRPr="00BB3AE1">
        <w:rPr>
          <w:rFonts w:ascii="Garamond" w:hAnsi="Garamond"/>
        </w:rPr>
        <w:t>week,</w:t>
      </w:r>
      <w:r w:rsidR="00E77FF4" w:rsidRPr="00BB3AE1">
        <w:rPr>
          <w:rFonts w:ascii="Garamond" w:hAnsi="Garamond"/>
        </w:rPr>
        <w:t xml:space="preserve"> </w:t>
      </w:r>
      <w:r w:rsidR="0058349C" w:rsidRPr="00BB3AE1">
        <w:rPr>
          <w:rFonts w:ascii="Garamond" w:hAnsi="Garamond"/>
        </w:rPr>
        <w:t xml:space="preserve">all </w:t>
      </w:r>
      <w:r w:rsidR="00E77FF4" w:rsidRPr="00BB3AE1">
        <w:rPr>
          <w:rFonts w:ascii="Garamond" w:hAnsi="Garamond"/>
        </w:rPr>
        <w:t xml:space="preserve">major U.S. indices </w:t>
      </w:r>
      <w:r w:rsidR="00DE07D1">
        <w:rPr>
          <w:rFonts w:ascii="Garamond" w:hAnsi="Garamond"/>
        </w:rPr>
        <w:t>declined</w:t>
      </w:r>
      <w:r w:rsidR="00071EC8">
        <w:rPr>
          <w:rFonts w:ascii="Garamond" w:hAnsi="Garamond"/>
        </w:rPr>
        <w:t xml:space="preserve"> on a weekly basis due to weaker-than-expected growth data in the U.S.</w:t>
      </w:r>
      <w:r w:rsidR="00447551">
        <w:rPr>
          <w:rFonts w:ascii="Garamond" w:hAnsi="Garamond"/>
        </w:rPr>
        <w:t xml:space="preserve"> </w:t>
      </w:r>
      <w:r w:rsidR="00071EC8">
        <w:rPr>
          <w:rFonts w:ascii="Garamond" w:hAnsi="Garamond"/>
        </w:rPr>
        <w:t>Small cap stocks experienced the largest decline and the Russell 2000 index decreased by more than 3%</w:t>
      </w:r>
      <w:r w:rsidR="00071792" w:rsidRPr="00916B02">
        <w:rPr>
          <w:rFonts w:ascii="Garamond" w:hAnsi="Garamond"/>
        </w:rPr>
        <w:t xml:space="preserve">. </w:t>
      </w:r>
      <w:r w:rsidR="00F95E4E" w:rsidRPr="00916B02">
        <w:rPr>
          <w:rFonts w:ascii="Garamond" w:hAnsi="Garamond"/>
        </w:rPr>
        <w:t xml:space="preserve">In effect, the Dow Jones Industrial Average and the NASDAQ Composite </w:t>
      </w:r>
      <w:r w:rsidR="00071EC8">
        <w:rPr>
          <w:rFonts w:ascii="Garamond" w:hAnsi="Garamond"/>
        </w:rPr>
        <w:t>de</w:t>
      </w:r>
      <w:r w:rsidR="00BB3AE1" w:rsidRPr="00916B02">
        <w:rPr>
          <w:rFonts w:ascii="Garamond" w:hAnsi="Garamond"/>
        </w:rPr>
        <w:t>crea</w:t>
      </w:r>
      <w:r w:rsidR="0058349C" w:rsidRPr="00916B02">
        <w:rPr>
          <w:rFonts w:ascii="Garamond" w:hAnsi="Garamond"/>
        </w:rPr>
        <w:t>sed</w:t>
      </w:r>
      <w:r w:rsidR="00EF1EF1" w:rsidRPr="00916B02">
        <w:rPr>
          <w:rFonts w:ascii="Garamond" w:hAnsi="Garamond"/>
        </w:rPr>
        <w:t xml:space="preserve"> on a weekly basis </w:t>
      </w:r>
      <w:r w:rsidR="0058349C" w:rsidRPr="00916B02">
        <w:rPr>
          <w:rFonts w:ascii="Garamond" w:hAnsi="Garamond"/>
        </w:rPr>
        <w:t>by</w:t>
      </w:r>
      <w:r w:rsidR="00F95E4E" w:rsidRPr="00916B02">
        <w:rPr>
          <w:rFonts w:ascii="Garamond" w:hAnsi="Garamond"/>
        </w:rPr>
        <w:t xml:space="preserve"> </w:t>
      </w:r>
      <w:r w:rsidR="00071EC8">
        <w:rPr>
          <w:rFonts w:ascii="Garamond" w:hAnsi="Garamond"/>
        </w:rPr>
        <w:t>0.31</w:t>
      </w:r>
      <w:r w:rsidR="0073094F" w:rsidRPr="00916B02">
        <w:rPr>
          <w:rFonts w:ascii="Garamond" w:hAnsi="Garamond"/>
        </w:rPr>
        <w:t>%</w:t>
      </w:r>
      <w:r w:rsidR="00916B02" w:rsidRPr="00916B02">
        <w:rPr>
          <w:rFonts w:ascii="Garamond" w:hAnsi="Garamond"/>
        </w:rPr>
        <w:t xml:space="preserve"> and </w:t>
      </w:r>
      <w:r w:rsidR="00071EC8">
        <w:rPr>
          <w:rFonts w:ascii="Garamond" w:hAnsi="Garamond"/>
        </w:rPr>
        <w:t>1.70</w:t>
      </w:r>
      <w:r w:rsidR="00BB3AE1" w:rsidRPr="00916B02">
        <w:rPr>
          <w:rFonts w:ascii="Garamond" w:hAnsi="Garamond"/>
        </w:rPr>
        <w:t>% respectively</w:t>
      </w:r>
      <w:r w:rsidR="0094546A" w:rsidRPr="00916B02">
        <w:rPr>
          <w:rFonts w:ascii="Garamond" w:hAnsi="Garamond"/>
        </w:rPr>
        <w:t>,</w:t>
      </w:r>
      <w:r w:rsidR="00F95E4E" w:rsidRPr="00916B02">
        <w:rPr>
          <w:rFonts w:ascii="Garamond" w:hAnsi="Garamond"/>
        </w:rPr>
        <w:t xml:space="preserve"> while the </w:t>
      </w:r>
      <w:r w:rsidR="0094546A" w:rsidRPr="00916B02">
        <w:rPr>
          <w:rFonts w:ascii="Garamond" w:hAnsi="Garamond"/>
        </w:rPr>
        <w:t xml:space="preserve">S&amp;P 500 </w:t>
      </w:r>
      <w:r w:rsidR="00071EC8">
        <w:rPr>
          <w:rFonts w:ascii="Garamond" w:hAnsi="Garamond"/>
        </w:rPr>
        <w:t>de</w:t>
      </w:r>
      <w:r w:rsidR="00BB3AE1" w:rsidRPr="00916B02">
        <w:rPr>
          <w:rFonts w:ascii="Garamond" w:hAnsi="Garamond"/>
        </w:rPr>
        <w:t>creased</w:t>
      </w:r>
      <w:r w:rsidR="004B22EF" w:rsidRPr="00916B02">
        <w:rPr>
          <w:rFonts w:ascii="Garamond" w:hAnsi="Garamond"/>
        </w:rPr>
        <w:t xml:space="preserve"> by</w:t>
      </w:r>
      <w:r w:rsidR="0094546A" w:rsidRPr="00916B02">
        <w:rPr>
          <w:rFonts w:ascii="Garamond" w:hAnsi="Garamond"/>
        </w:rPr>
        <w:t xml:space="preserve"> </w:t>
      </w:r>
      <w:r w:rsidR="00071EC8">
        <w:rPr>
          <w:rFonts w:ascii="Garamond" w:hAnsi="Garamond"/>
        </w:rPr>
        <w:t>0.44</w:t>
      </w:r>
      <w:r w:rsidR="0094546A" w:rsidRPr="00916B02">
        <w:rPr>
          <w:rFonts w:ascii="Garamond" w:hAnsi="Garamond"/>
        </w:rPr>
        <w:t xml:space="preserve">% during the last week. Small cap stocks measured by the Russell 2000 index </w:t>
      </w:r>
      <w:r w:rsidR="00071EC8" w:rsidRPr="00916B02">
        <w:rPr>
          <w:rFonts w:ascii="Garamond" w:hAnsi="Garamond"/>
        </w:rPr>
        <w:t xml:space="preserve">experienced </w:t>
      </w:r>
      <w:r w:rsidR="00071EC8">
        <w:rPr>
          <w:rFonts w:ascii="Garamond" w:hAnsi="Garamond"/>
        </w:rPr>
        <w:t>the largest decline</w:t>
      </w:r>
      <w:r w:rsidR="00F74791" w:rsidRPr="00916B02">
        <w:rPr>
          <w:rFonts w:ascii="Garamond" w:hAnsi="Garamond"/>
        </w:rPr>
        <w:t>, yielding</w:t>
      </w:r>
      <w:r w:rsidR="0094546A" w:rsidRPr="00916B02">
        <w:rPr>
          <w:rFonts w:ascii="Garamond" w:hAnsi="Garamond"/>
        </w:rPr>
        <w:t xml:space="preserve"> </w:t>
      </w:r>
      <w:r w:rsidR="00071EC8">
        <w:rPr>
          <w:rFonts w:ascii="Garamond" w:hAnsi="Garamond"/>
        </w:rPr>
        <w:t>-3.11</w:t>
      </w:r>
      <w:r w:rsidR="0094546A" w:rsidRPr="00916B02">
        <w:rPr>
          <w:rFonts w:ascii="Garamond" w:hAnsi="Garamond"/>
        </w:rPr>
        <w:t>%</w:t>
      </w:r>
      <w:r w:rsidR="00992714" w:rsidRPr="00916B02">
        <w:rPr>
          <w:rFonts w:ascii="Garamond" w:hAnsi="Garamond"/>
        </w:rPr>
        <w:t xml:space="preserve"> throughout the week</w:t>
      </w:r>
      <w:r w:rsidR="0094546A" w:rsidRPr="00916B02">
        <w:rPr>
          <w:rFonts w:ascii="Garamond" w:hAnsi="Garamond"/>
        </w:rPr>
        <w:t xml:space="preserve">. </w:t>
      </w:r>
      <w:r w:rsidR="00526CCE" w:rsidRPr="00916B02">
        <w:rPr>
          <w:rFonts w:ascii="Garamond" w:hAnsi="Garamond"/>
        </w:rPr>
        <w:t xml:space="preserve">The VIX week-to-date change of </w:t>
      </w:r>
      <w:r w:rsidR="00071EC8">
        <w:rPr>
          <w:rFonts w:ascii="Garamond" w:hAnsi="Garamond"/>
        </w:rPr>
        <w:t>3.34</w:t>
      </w:r>
      <w:r w:rsidR="00526CCE" w:rsidRPr="00916B02">
        <w:rPr>
          <w:rFonts w:ascii="Garamond" w:hAnsi="Garamond"/>
        </w:rPr>
        <w:t>% indicates that volatility levels</w:t>
      </w:r>
      <w:r w:rsidR="00AC1B73" w:rsidRPr="00916B02">
        <w:rPr>
          <w:rFonts w:ascii="Garamond" w:hAnsi="Garamond"/>
        </w:rPr>
        <w:t xml:space="preserve"> </w:t>
      </w:r>
      <w:r w:rsidR="004B22EF" w:rsidRPr="00916B02">
        <w:rPr>
          <w:rFonts w:ascii="Garamond" w:hAnsi="Garamond"/>
        </w:rPr>
        <w:t xml:space="preserve">start to </w:t>
      </w:r>
      <w:r w:rsidR="00071EC8">
        <w:rPr>
          <w:rFonts w:ascii="Garamond" w:hAnsi="Garamond"/>
        </w:rPr>
        <w:t>increase</w:t>
      </w:r>
      <w:r w:rsidR="004B22EF" w:rsidRPr="00916B02">
        <w:rPr>
          <w:rFonts w:ascii="Garamond" w:hAnsi="Garamond"/>
        </w:rPr>
        <w:t xml:space="preserve"> again</w:t>
      </w:r>
      <w:r w:rsidR="00992714" w:rsidRPr="00916B02">
        <w:rPr>
          <w:rFonts w:ascii="Garamond" w:hAnsi="Garamond"/>
        </w:rPr>
        <w:t>,</w:t>
      </w:r>
      <w:r w:rsidR="001C0C02" w:rsidRPr="00916B02">
        <w:rPr>
          <w:rFonts w:ascii="Garamond" w:hAnsi="Garamond"/>
        </w:rPr>
        <w:t xml:space="preserve"> leading to a year-to-date change of -</w:t>
      </w:r>
      <w:r w:rsidR="00071EC8">
        <w:rPr>
          <w:rFonts w:ascii="Garamond" w:hAnsi="Garamond"/>
        </w:rPr>
        <w:t>33.85</w:t>
      </w:r>
      <w:r w:rsidR="001C0C02" w:rsidRPr="00916B02">
        <w:rPr>
          <w:rFonts w:ascii="Garamond" w:hAnsi="Garamond"/>
        </w:rPr>
        <w:t xml:space="preserve">%. </w:t>
      </w:r>
      <w:r w:rsidR="00534791" w:rsidRPr="00916B02">
        <w:rPr>
          <w:rFonts w:ascii="Garamond" w:hAnsi="Garamond"/>
        </w:rPr>
        <w:t xml:space="preserve">The </w:t>
      </w:r>
      <w:r w:rsidR="00534791">
        <w:rPr>
          <w:rFonts w:ascii="Garamond" w:hAnsi="Garamond"/>
        </w:rPr>
        <w:t>yield of</w:t>
      </w:r>
      <w:r w:rsidR="003654A1" w:rsidRPr="000A6DE6">
        <w:rPr>
          <w:rFonts w:ascii="Garamond" w:hAnsi="Garamond"/>
        </w:rPr>
        <w:t xml:space="preserve"> the</w:t>
      </w:r>
      <w:r w:rsidR="00526CCE" w:rsidRPr="000A6DE6">
        <w:rPr>
          <w:rFonts w:ascii="Garamond" w:hAnsi="Garamond"/>
        </w:rPr>
        <w:t xml:space="preserve"> 10</w:t>
      </w:r>
      <w:r w:rsidR="003654A1" w:rsidRPr="000A6DE6">
        <w:rPr>
          <w:rFonts w:ascii="Garamond" w:hAnsi="Garamond"/>
        </w:rPr>
        <w:t>-</w:t>
      </w:r>
      <w:r w:rsidR="00526CCE" w:rsidRPr="000A6DE6">
        <w:rPr>
          <w:rFonts w:ascii="Garamond" w:hAnsi="Garamond"/>
        </w:rPr>
        <w:t xml:space="preserve">year </w:t>
      </w:r>
      <w:r w:rsidR="003654A1" w:rsidRPr="000A6DE6">
        <w:rPr>
          <w:rFonts w:ascii="Garamond" w:hAnsi="Garamond"/>
        </w:rPr>
        <w:t>U.S. T-n</w:t>
      </w:r>
      <w:r w:rsidR="00526CCE" w:rsidRPr="000A6DE6">
        <w:rPr>
          <w:rFonts w:ascii="Garamond" w:hAnsi="Garamond"/>
        </w:rPr>
        <w:t>ote</w:t>
      </w:r>
      <w:r w:rsidR="003654A1" w:rsidRPr="000A6DE6">
        <w:rPr>
          <w:rFonts w:ascii="Garamond" w:hAnsi="Garamond"/>
        </w:rPr>
        <w:t xml:space="preserve"> </w:t>
      </w:r>
      <w:r w:rsidR="00071EC8">
        <w:rPr>
          <w:rFonts w:ascii="Garamond" w:hAnsi="Garamond"/>
        </w:rPr>
        <w:t>in</w:t>
      </w:r>
      <w:r w:rsidR="008A489D">
        <w:rPr>
          <w:rFonts w:ascii="Garamond" w:hAnsi="Garamond"/>
        </w:rPr>
        <w:t>creased</w:t>
      </w:r>
      <w:r w:rsidR="003654A1" w:rsidRPr="000A6DE6">
        <w:rPr>
          <w:rFonts w:ascii="Garamond" w:hAnsi="Garamond"/>
        </w:rPr>
        <w:t xml:space="preserve"> by </w:t>
      </w:r>
      <w:r w:rsidR="00071EC8">
        <w:rPr>
          <w:rFonts w:ascii="Garamond" w:hAnsi="Garamond"/>
        </w:rPr>
        <w:t>8</w:t>
      </w:r>
      <w:r w:rsidR="003654A1" w:rsidRPr="000A6DE6">
        <w:rPr>
          <w:rFonts w:ascii="Garamond" w:hAnsi="Garamond"/>
        </w:rPr>
        <w:t xml:space="preserve"> basis points</w:t>
      </w:r>
      <w:r w:rsidR="008A489D">
        <w:rPr>
          <w:rFonts w:ascii="Garamond" w:hAnsi="Garamond"/>
        </w:rPr>
        <w:t xml:space="preserve"> </w:t>
      </w:r>
      <w:r w:rsidR="003654A1" w:rsidRPr="000A6DE6">
        <w:rPr>
          <w:rFonts w:ascii="Garamond" w:hAnsi="Garamond"/>
        </w:rPr>
        <w:t xml:space="preserve">to </w:t>
      </w:r>
      <w:r w:rsidR="00071EC8">
        <w:rPr>
          <w:rFonts w:ascii="Garamond" w:hAnsi="Garamond"/>
        </w:rPr>
        <w:t>2.12</w:t>
      </w:r>
      <w:r w:rsidR="00836878">
        <w:rPr>
          <w:rFonts w:ascii="Garamond" w:hAnsi="Garamond"/>
        </w:rPr>
        <w:t>%</w:t>
      </w:r>
      <w:r w:rsidR="00526CCE" w:rsidRPr="000A6DE6">
        <w:rPr>
          <w:rFonts w:ascii="Garamond" w:hAnsi="Garamond"/>
        </w:rPr>
        <w:t xml:space="preserve">. </w:t>
      </w:r>
      <w:r w:rsidR="003654A1" w:rsidRPr="00BB3AE1">
        <w:rPr>
          <w:rFonts w:ascii="Garamond" w:hAnsi="Garamond"/>
        </w:rPr>
        <w:t>In addition,</w:t>
      </w:r>
      <w:r w:rsidR="00526CCE" w:rsidRPr="00BB3AE1">
        <w:rPr>
          <w:rFonts w:ascii="Garamond" w:hAnsi="Garamond"/>
        </w:rPr>
        <w:t xml:space="preserve"> </w:t>
      </w:r>
      <w:r w:rsidR="00745500" w:rsidRPr="00BB3AE1">
        <w:rPr>
          <w:rFonts w:ascii="Garamond" w:hAnsi="Garamond"/>
        </w:rPr>
        <w:t xml:space="preserve">the price of </w:t>
      </w:r>
      <w:r w:rsidR="00526CCE" w:rsidRPr="00BB3AE1">
        <w:rPr>
          <w:rFonts w:ascii="Garamond" w:hAnsi="Garamond"/>
        </w:rPr>
        <w:t xml:space="preserve">oil </w:t>
      </w:r>
      <w:r w:rsidR="008A489D" w:rsidRPr="00BB3AE1">
        <w:rPr>
          <w:rFonts w:ascii="Garamond" w:hAnsi="Garamond"/>
        </w:rPr>
        <w:t>in</w:t>
      </w:r>
      <w:r w:rsidR="00992714" w:rsidRPr="00BB3AE1">
        <w:rPr>
          <w:rFonts w:ascii="Garamond" w:hAnsi="Garamond"/>
        </w:rPr>
        <w:t>creased</w:t>
      </w:r>
      <w:r w:rsidR="003C2C57" w:rsidRPr="00BB3AE1">
        <w:rPr>
          <w:rFonts w:ascii="Garamond" w:hAnsi="Garamond"/>
        </w:rPr>
        <w:t xml:space="preserve"> throughout the week</w:t>
      </w:r>
      <w:r w:rsidR="003E4F58" w:rsidRPr="00BB3AE1">
        <w:rPr>
          <w:rFonts w:ascii="Garamond" w:hAnsi="Garamond"/>
        </w:rPr>
        <w:t xml:space="preserve"> </w:t>
      </w:r>
      <w:r w:rsidR="003C2C57" w:rsidRPr="00BB3AE1">
        <w:rPr>
          <w:rFonts w:ascii="Garamond" w:hAnsi="Garamond"/>
        </w:rPr>
        <w:t xml:space="preserve">by </w:t>
      </w:r>
      <w:r w:rsidR="00071EC8">
        <w:rPr>
          <w:rFonts w:ascii="Garamond" w:hAnsi="Garamond"/>
        </w:rPr>
        <w:t>4.32</w:t>
      </w:r>
      <w:r w:rsidR="003C2C57" w:rsidRPr="00BB3AE1">
        <w:rPr>
          <w:rFonts w:ascii="Garamond" w:hAnsi="Garamond"/>
        </w:rPr>
        <w:t xml:space="preserve">% </w:t>
      </w:r>
      <w:r w:rsidR="003E4F58" w:rsidRPr="00BB3AE1">
        <w:rPr>
          <w:rFonts w:ascii="Garamond" w:hAnsi="Garamond"/>
        </w:rPr>
        <w:t xml:space="preserve">to </w:t>
      </w:r>
      <w:r w:rsidR="00712DDA" w:rsidRPr="00BB3AE1">
        <w:rPr>
          <w:rFonts w:ascii="Garamond" w:hAnsi="Garamond"/>
        </w:rPr>
        <w:t>a price</w:t>
      </w:r>
      <w:r w:rsidR="003654A1" w:rsidRPr="00BB3AE1">
        <w:rPr>
          <w:rFonts w:ascii="Garamond" w:hAnsi="Garamond"/>
        </w:rPr>
        <w:t xml:space="preserve"> of $</w:t>
      </w:r>
      <w:r w:rsidR="00071EC8">
        <w:rPr>
          <w:rFonts w:ascii="Garamond" w:hAnsi="Garamond"/>
        </w:rPr>
        <w:t>59.62</w:t>
      </w:r>
      <w:r w:rsidR="003C2C57" w:rsidRPr="00BB3AE1">
        <w:rPr>
          <w:rFonts w:ascii="Garamond" w:hAnsi="Garamond"/>
        </w:rPr>
        <w:t>/bbl</w:t>
      </w:r>
      <w:r w:rsidR="003E4F58" w:rsidRPr="00BB3AE1">
        <w:rPr>
          <w:rFonts w:ascii="Garamond" w:hAnsi="Garamond"/>
        </w:rPr>
        <w:t>.</w:t>
      </w:r>
      <w:r w:rsidR="003F5848" w:rsidRPr="00BB3AE1">
        <w:rPr>
          <w:rFonts w:ascii="Garamond" w:hAnsi="Garamond"/>
        </w:rPr>
        <w:t xml:space="preserve"> </w:t>
      </w:r>
    </w:p>
    <w:p w:rsidR="00B946FE" w:rsidRDefault="00F6411D" w:rsidP="00540ED4">
      <w:pPr>
        <w:contextualSpacing/>
        <w:jc w:val="both"/>
        <w:rPr>
          <w:rFonts w:ascii="Garamond" w:hAnsi="Garamond"/>
        </w:rPr>
      </w:pPr>
      <w:r w:rsidRPr="000A6DE6">
        <w:rPr>
          <w:rFonts w:ascii="Garamond" w:hAnsi="Garamond"/>
        </w:rPr>
        <w:t xml:space="preserve">This week’s </w:t>
      </w:r>
      <w:r w:rsidR="00517C7D">
        <w:rPr>
          <w:rFonts w:ascii="Garamond" w:hAnsi="Garamond"/>
        </w:rPr>
        <w:t xml:space="preserve">global </w:t>
      </w:r>
      <w:r w:rsidR="00F74791">
        <w:rPr>
          <w:rFonts w:ascii="Garamond" w:hAnsi="Garamond"/>
        </w:rPr>
        <w:t>market movements</w:t>
      </w:r>
      <w:r w:rsidRPr="000A6DE6">
        <w:rPr>
          <w:rFonts w:ascii="Garamond" w:hAnsi="Garamond"/>
        </w:rPr>
        <w:t xml:space="preserve"> w</w:t>
      </w:r>
      <w:r w:rsidR="00F74791">
        <w:rPr>
          <w:rFonts w:ascii="Garamond" w:hAnsi="Garamond"/>
        </w:rPr>
        <w:t>ere</w:t>
      </w:r>
      <w:r w:rsidRPr="000A6DE6">
        <w:rPr>
          <w:rFonts w:ascii="Garamond" w:hAnsi="Garamond"/>
        </w:rPr>
        <w:t xml:space="preserve"> primarily driven by </w:t>
      </w:r>
      <w:r w:rsidR="00517C7D">
        <w:rPr>
          <w:rFonts w:ascii="Garamond" w:hAnsi="Garamond"/>
        </w:rPr>
        <w:t>weak U.S. growth data</w:t>
      </w:r>
      <w:r w:rsidR="007C46B0">
        <w:rPr>
          <w:rFonts w:ascii="Garamond" w:hAnsi="Garamond"/>
        </w:rPr>
        <w:t xml:space="preserve">. </w:t>
      </w:r>
      <w:r w:rsidR="00517C7D">
        <w:rPr>
          <w:rFonts w:ascii="Garamond" w:hAnsi="Garamond"/>
        </w:rPr>
        <w:t>During the first quarter the U.S. economy experienced a slowdown reporting growth throughout the quarter of only 0.2%</w:t>
      </w:r>
      <w:r w:rsidR="00277D80">
        <w:rPr>
          <w:rFonts w:ascii="Garamond" w:hAnsi="Garamond"/>
        </w:rPr>
        <w:t>.</w:t>
      </w:r>
      <w:r w:rsidR="00517C7D">
        <w:rPr>
          <w:rFonts w:ascii="Garamond" w:hAnsi="Garamond"/>
        </w:rPr>
        <w:t xml:space="preserve"> The news had a negative effect on the market since the U.S. was expected to grow at a rate of at least 1%. </w:t>
      </w:r>
      <w:r w:rsidR="00044021">
        <w:rPr>
          <w:rFonts w:ascii="Garamond" w:hAnsi="Garamond"/>
        </w:rPr>
        <w:t xml:space="preserve">Consumer spending increased by 1.9% and beat expectations. However, the strong dollar continues to hurt U.S. export companies and caused a decline in GDP due to the growing trade deficit. </w:t>
      </w:r>
      <w:proofErr w:type="gramStart"/>
      <w:r w:rsidR="00044021">
        <w:rPr>
          <w:rFonts w:ascii="Garamond" w:hAnsi="Garamond"/>
        </w:rPr>
        <w:t>The Conference Board’s index of consumer confidence declined by 6.51% in April.</w:t>
      </w:r>
      <w:proofErr w:type="gramEnd"/>
      <w:r w:rsidR="00044021">
        <w:rPr>
          <w:rFonts w:ascii="Garamond" w:hAnsi="Garamond"/>
        </w:rPr>
        <w:t xml:space="preserve"> </w:t>
      </w:r>
      <w:r w:rsidR="004110F7">
        <w:rPr>
          <w:rFonts w:ascii="Garamond" w:hAnsi="Garamond"/>
        </w:rPr>
        <w:t xml:space="preserve">Consumer spending increased by 0.4% in March and continues to grow after a 0.2% increase in February. </w:t>
      </w:r>
      <w:r w:rsidR="00044021">
        <w:rPr>
          <w:rFonts w:ascii="Garamond" w:hAnsi="Garamond"/>
        </w:rPr>
        <w:t xml:space="preserve">The negative economic news </w:t>
      </w:r>
      <w:proofErr w:type="gramStart"/>
      <w:r w:rsidR="00044021">
        <w:rPr>
          <w:rFonts w:ascii="Garamond" w:hAnsi="Garamond"/>
        </w:rPr>
        <w:t>are</w:t>
      </w:r>
      <w:proofErr w:type="gramEnd"/>
      <w:r w:rsidR="00044021">
        <w:rPr>
          <w:rFonts w:ascii="Garamond" w:hAnsi="Garamond"/>
        </w:rPr>
        <w:t xml:space="preserve"> likely to cause the Federal Reserve </w:t>
      </w:r>
      <w:r w:rsidR="004110F7">
        <w:rPr>
          <w:rFonts w:ascii="Garamond" w:hAnsi="Garamond"/>
        </w:rPr>
        <w:t>to further delay the interest rate increase beyond the month of June.</w:t>
      </w:r>
      <w:r w:rsidR="00044021">
        <w:rPr>
          <w:rFonts w:ascii="Garamond" w:hAnsi="Garamond"/>
        </w:rPr>
        <w:t xml:space="preserve"> </w:t>
      </w:r>
      <w:r w:rsidR="00277D80">
        <w:rPr>
          <w:rFonts w:ascii="Garamond" w:hAnsi="Garamond"/>
        </w:rPr>
        <w:t xml:space="preserve"> </w:t>
      </w:r>
    </w:p>
    <w:p w:rsidR="00A5625E" w:rsidRDefault="00277D80" w:rsidP="00540ED4">
      <w:pPr>
        <w:contextualSpacing/>
        <w:jc w:val="both"/>
        <w:rPr>
          <w:rFonts w:ascii="Garamond" w:hAnsi="Garamond"/>
        </w:rPr>
      </w:pPr>
      <w:r>
        <w:rPr>
          <w:rFonts w:ascii="Garamond" w:hAnsi="Garamond"/>
        </w:rPr>
        <w:t xml:space="preserve">Internationally, </w:t>
      </w:r>
      <w:r w:rsidR="004110F7">
        <w:rPr>
          <w:rFonts w:ascii="Garamond" w:hAnsi="Garamond"/>
        </w:rPr>
        <w:t>China’s output continues to slow down. The economy’s manufacturing purchasing managers’ index did not change in April. However, their nonmanufacturing sector continued to slow down and is currently near their one-year low. In the Eurozone, consumer prices remained stable in April compared to last year’s data and stopped the declines reported in the past months. In addition, the euro increased to a two-month high of $1.129 after negative U.S. economic data got released on Friday and the Eurozone demonstrates signs of economic improvement.</w:t>
      </w:r>
      <w:r w:rsidR="004B2A9A">
        <w:rPr>
          <w:rFonts w:ascii="Garamond" w:hAnsi="Garamond"/>
        </w:rPr>
        <w:t xml:space="preserve"> Spain’s Gross Domestic Product rose 0.9% in 2015 and 2.5% </w:t>
      </w:r>
      <w:proofErr w:type="spellStart"/>
      <w:r w:rsidR="004B2A9A">
        <w:rPr>
          <w:rFonts w:ascii="Garamond" w:hAnsi="Garamond"/>
        </w:rPr>
        <w:t>YoY</w:t>
      </w:r>
      <w:proofErr w:type="spellEnd"/>
      <w:r w:rsidR="004B2A9A">
        <w:rPr>
          <w:rFonts w:ascii="Garamond" w:hAnsi="Garamond"/>
        </w:rPr>
        <w:t>. Spain’s economy is ranked as being the Eurozone’s third largest economy and shows signs of recovery being expected to grow 3% this year. The Bank of Japan decided to leave their monetary policy unchanged. In addition, Japan reported a slight increase in consumer prices of 0.2%. It is the economy’s first increase in nearly one year. However, the consumer price index is still far away from the country’s 2% target.</w:t>
      </w:r>
      <w:r w:rsidR="004110F7">
        <w:rPr>
          <w:rFonts w:ascii="Garamond" w:hAnsi="Garamond"/>
        </w:rPr>
        <w:t xml:space="preserve"> </w:t>
      </w:r>
    </w:p>
    <w:p w:rsidR="004744A3" w:rsidRPr="000A6DE6" w:rsidRDefault="00D73D6E" w:rsidP="00550DBE">
      <w:pPr>
        <w:contextualSpacing/>
        <w:jc w:val="both"/>
        <w:rPr>
          <w:rFonts w:ascii="Garamond" w:hAnsi="Garamond"/>
        </w:rPr>
      </w:pPr>
      <w:r w:rsidRPr="000A6DE6">
        <w:rPr>
          <w:rFonts w:ascii="Garamond" w:hAnsi="Garamond"/>
        </w:rPr>
        <w:t xml:space="preserve">Next week, investors will be looking forward to see data from different economic reports that </w:t>
      </w:r>
      <w:r w:rsidR="0024233C">
        <w:rPr>
          <w:rFonts w:ascii="Garamond" w:hAnsi="Garamond"/>
        </w:rPr>
        <w:t xml:space="preserve">will have an impact on the </w:t>
      </w:r>
      <w:r w:rsidR="00891405">
        <w:rPr>
          <w:rFonts w:ascii="Garamond" w:hAnsi="Garamond"/>
        </w:rPr>
        <w:t xml:space="preserve">global </w:t>
      </w:r>
      <w:r w:rsidR="0045475F">
        <w:rPr>
          <w:rFonts w:ascii="Garamond" w:hAnsi="Garamond"/>
        </w:rPr>
        <w:t xml:space="preserve">markets. On </w:t>
      </w:r>
      <w:r w:rsidR="00E27B8E">
        <w:rPr>
          <w:rFonts w:ascii="Garamond" w:hAnsi="Garamond"/>
        </w:rPr>
        <w:t>Mon</w:t>
      </w:r>
      <w:r w:rsidR="003D7B68">
        <w:rPr>
          <w:rFonts w:ascii="Garamond" w:hAnsi="Garamond"/>
        </w:rPr>
        <w:t xml:space="preserve">day </w:t>
      </w:r>
      <w:r w:rsidR="00E27B8E">
        <w:rPr>
          <w:rFonts w:ascii="Garamond" w:hAnsi="Garamond"/>
        </w:rPr>
        <w:t>4</w:t>
      </w:r>
      <w:r w:rsidR="005E76FF">
        <w:rPr>
          <w:rFonts w:ascii="Garamond" w:hAnsi="Garamond"/>
          <w:vertAlign w:val="superscript"/>
        </w:rPr>
        <w:t>th</w:t>
      </w:r>
      <w:r w:rsidR="005E76FF">
        <w:rPr>
          <w:rFonts w:ascii="Garamond" w:hAnsi="Garamond"/>
        </w:rPr>
        <w:t xml:space="preserve">, </w:t>
      </w:r>
      <w:r w:rsidR="00E27B8E">
        <w:rPr>
          <w:rFonts w:ascii="Garamond" w:hAnsi="Garamond"/>
        </w:rPr>
        <w:t>Germany</w:t>
      </w:r>
      <w:r w:rsidR="00A61D35">
        <w:rPr>
          <w:rFonts w:ascii="Garamond" w:hAnsi="Garamond"/>
        </w:rPr>
        <w:t xml:space="preserve"> will report on their economy’s </w:t>
      </w:r>
      <w:r w:rsidR="00E27B8E">
        <w:rPr>
          <w:rFonts w:ascii="Garamond" w:hAnsi="Garamond"/>
        </w:rPr>
        <w:t>Manufacturing PMI</w:t>
      </w:r>
      <w:r w:rsidR="005E76FF">
        <w:rPr>
          <w:rFonts w:ascii="Garamond" w:hAnsi="Garamond"/>
        </w:rPr>
        <w:t xml:space="preserve">. </w:t>
      </w:r>
      <w:r w:rsidR="00A61D35">
        <w:rPr>
          <w:rFonts w:ascii="Garamond" w:hAnsi="Garamond"/>
        </w:rPr>
        <w:t xml:space="preserve">On </w:t>
      </w:r>
      <w:r w:rsidR="00E27B8E">
        <w:rPr>
          <w:rFonts w:ascii="Garamond" w:hAnsi="Garamond"/>
        </w:rPr>
        <w:t>Tues</w:t>
      </w:r>
      <w:r w:rsidR="00A61D35">
        <w:rPr>
          <w:rFonts w:ascii="Garamond" w:hAnsi="Garamond"/>
        </w:rPr>
        <w:t>day</w:t>
      </w:r>
      <w:r w:rsidR="00E27B8E">
        <w:rPr>
          <w:rFonts w:ascii="Garamond" w:hAnsi="Garamond"/>
        </w:rPr>
        <w:t xml:space="preserve"> 5</w:t>
      </w:r>
      <w:r w:rsidR="00E27B8E" w:rsidRPr="00E27B8E">
        <w:rPr>
          <w:rFonts w:ascii="Garamond" w:hAnsi="Garamond"/>
          <w:vertAlign w:val="superscript"/>
        </w:rPr>
        <w:t>th</w:t>
      </w:r>
      <w:r w:rsidR="00A61D35">
        <w:rPr>
          <w:rFonts w:ascii="Garamond" w:hAnsi="Garamond"/>
        </w:rPr>
        <w:t xml:space="preserve">, </w:t>
      </w:r>
      <w:r w:rsidR="00E27B8E">
        <w:rPr>
          <w:rFonts w:ascii="Garamond" w:hAnsi="Garamond"/>
        </w:rPr>
        <w:t xml:space="preserve">the Reserve </w:t>
      </w:r>
      <w:r w:rsidR="00A61D35">
        <w:rPr>
          <w:rFonts w:ascii="Garamond" w:hAnsi="Garamond"/>
        </w:rPr>
        <w:t xml:space="preserve">Bank of </w:t>
      </w:r>
      <w:r w:rsidR="00E27B8E">
        <w:rPr>
          <w:rFonts w:ascii="Garamond" w:hAnsi="Garamond"/>
        </w:rPr>
        <w:t>Australia will have a press conference and decide on the country’s short term interest rate movement. On the same day, the U.K. will report on their country’s Construction PMI (Apr). On the same day, New Zealand will release data about their country’s employment change and performance of their retail sector. On Wednesday 6</w:t>
      </w:r>
      <w:r w:rsidR="00E27B8E" w:rsidRPr="00E27B8E">
        <w:rPr>
          <w:rFonts w:ascii="Garamond" w:hAnsi="Garamond"/>
          <w:vertAlign w:val="superscript"/>
        </w:rPr>
        <w:t>th</w:t>
      </w:r>
      <w:r w:rsidR="00E27B8E">
        <w:rPr>
          <w:rFonts w:ascii="Garamond" w:hAnsi="Garamond"/>
        </w:rPr>
        <w:t>, the U.K. will report on their Services PMI (Apr) and Australia will release data about their country’s employment change. On Thursday 7</w:t>
      </w:r>
      <w:r w:rsidR="00E27B8E" w:rsidRPr="00E27B8E">
        <w:rPr>
          <w:rFonts w:ascii="Garamond" w:hAnsi="Garamond"/>
          <w:vertAlign w:val="superscript"/>
        </w:rPr>
        <w:t>th</w:t>
      </w:r>
      <w:r w:rsidR="00E27B8E">
        <w:rPr>
          <w:rFonts w:ascii="Garamond" w:hAnsi="Garamond"/>
        </w:rPr>
        <w:t>, China will report on their trade balance (Apr) and on Friday, Canada will release data about their employment change.</w:t>
      </w:r>
      <w:r w:rsidR="00B24E78">
        <w:rPr>
          <w:rFonts w:ascii="Garamond" w:hAnsi="Garamond"/>
        </w:rPr>
        <w:t xml:space="preserve"> </w:t>
      </w:r>
    </w:p>
    <w:sectPr w:rsidR="004744A3" w:rsidRPr="000A6DE6" w:rsidSect="00EB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47F"/>
    <w:multiLevelType w:val="hybridMultilevel"/>
    <w:tmpl w:val="12DCE288"/>
    <w:lvl w:ilvl="0" w:tplc="733C2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1"/>
    <w:rsid w:val="00044021"/>
    <w:rsid w:val="000521D3"/>
    <w:rsid w:val="00071792"/>
    <w:rsid w:val="00071EC8"/>
    <w:rsid w:val="000870AC"/>
    <w:rsid w:val="000A6DE6"/>
    <w:rsid w:val="000D04D6"/>
    <w:rsid w:val="000D6ADB"/>
    <w:rsid w:val="000E75FB"/>
    <w:rsid w:val="000F460F"/>
    <w:rsid w:val="00176317"/>
    <w:rsid w:val="00192982"/>
    <w:rsid w:val="001A3122"/>
    <w:rsid w:val="001C0C02"/>
    <w:rsid w:val="001F0D8C"/>
    <w:rsid w:val="00202E36"/>
    <w:rsid w:val="002233C1"/>
    <w:rsid w:val="00233E80"/>
    <w:rsid w:val="0024233C"/>
    <w:rsid w:val="002445B0"/>
    <w:rsid w:val="00277D80"/>
    <w:rsid w:val="00282257"/>
    <w:rsid w:val="0029252F"/>
    <w:rsid w:val="002A53CB"/>
    <w:rsid w:val="002D4B39"/>
    <w:rsid w:val="002E4BD6"/>
    <w:rsid w:val="002E5AC1"/>
    <w:rsid w:val="00310057"/>
    <w:rsid w:val="00310538"/>
    <w:rsid w:val="00316AEF"/>
    <w:rsid w:val="00324A6D"/>
    <w:rsid w:val="00356C5A"/>
    <w:rsid w:val="003654A1"/>
    <w:rsid w:val="003C2C57"/>
    <w:rsid w:val="003C7A9D"/>
    <w:rsid w:val="003D18A1"/>
    <w:rsid w:val="003D430F"/>
    <w:rsid w:val="003D7B68"/>
    <w:rsid w:val="003E029D"/>
    <w:rsid w:val="003E4F58"/>
    <w:rsid w:val="003F5848"/>
    <w:rsid w:val="004110F7"/>
    <w:rsid w:val="00447551"/>
    <w:rsid w:val="0045340A"/>
    <w:rsid w:val="0045475F"/>
    <w:rsid w:val="00455FD6"/>
    <w:rsid w:val="00460A22"/>
    <w:rsid w:val="00472A54"/>
    <w:rsid w:val="004744A3"/>
    <w:rsid w:val="00476B85"/>
    <w:rsid w:val="004A20C2"/>
    <w:rsid w:val="004A6339"/>
    <w:rsid w:val="004B22EF"/>
    <w:rsid w:val="004B2A9A"/>
    <w:rsid w:val="004B4937"/>
    <w:rsid w:val="004C4C1E"/>
    <w:rsid w:val="00503B6B"/>
    <w:rsid w:val="00504395"/>
    <w:rsid w:val="00517C7D"/>
    <w:rsid w:val="00526CCE"/>
    <w:rsid w:val="00534791"/>
    <w:rsid w:val="00540ED4"/>
    <w:rsid w:val="00542260"/>
    <w:rsid w:val="00542C1E"/>
    <w:rsid w:val="00550DBE"/>
    <w:rsid w:val="00582F4B"/>
    <w:rsid w:val="0058349C"/>
    <w:rsid w:val="0058375A"/>
    <w:rsid w:val="00584FC4"/>
    <w:rsid w:val="00585755"/>
    <w:rsid w:val="005D56CA"/>
    <w:rsid w:val="005E76FF"/>
    <w:rsid w:val="005F7964"/>
    <w:rsid w:val="00630D45"/>
    <w:rsid w:val="0066746B"/>
    <w:rsid w:val="0069389F"/>
    <w:rsid w:val="006A7B31"/>
    <w:rsid w:val="00704C21"/>
    <w:rsid w:val="00712DDA"/>
    <w:rsid w:val="007216F6"/>
    <w:rsid w:val="0073094F"/>
    <w:rsid w:val="00745500"/>
    <w:rsid w:val="00756F06"/>
    <w:rsid w:val="00773F5A"/>
    <w:rsid w:val="007C46B0"/>
    <w:rsid w:val="00800FAD"/>
    <w:rsid w:val="00836878"/>
    <w:rsid w:val="008430D2"/>
    <w:rsid w:val="00855778"/>
    <w:rsid w:val="00876ED0"/>
    <w:rsid w:val="00891405"/>
    <w:rsid w:val="008A1504"/>
    <w:rsid w:val="008A489D"/>
    <w:rsid w:val="008C583B"/>
    <w:rsid w:val="00903617"/>
    <w:rsid w:val="00910027"/>
    <w:rsid w:val="00910308"/>
    <w:rsid w:val="00916B02"/>
    <w:rsid w:val="00926DA1"/>
    <w:rsid w:val="0094546A"/>
    <w:rsid w:val="0095358C"/>
    <w:rsid w:val="00953FF8"/>
    <w:rsid w:val="00954E84"/>
    <w:rsid w:val="00961874"/>
    <w:rsid w:val="00992714"/>
    <w:rsid w:val="009A703C"/>
    <w:rsid w:val="009D1585"/>
    <w:rsid w:val="009E0759"/>
    <w:rsid w:val="009F32BF"/>
    <w:rsid w:val="00A12C20"/>
    <w:rsid w:val="00A15921"/>
    <w:rsid w:val="00A24576"/>
    <w:rsid w:val="00A24FEE"/>
    <w:rsid w:val="00A5625E"/>
    <w:rsid w:val="00A5696A"/>
    <w:rsid w:val="00A61D35"/>
    <w:rsid w:val="00AA6A6B"/>
    <w:rsid w:val="00AC1B73"/>
    <w:rsid w:val="00AE6E2D"/>
    <w:rsid w:val="00AE7EA0"/>
    <w:rsid w:val="00AF02E4"/>
    <w:rsid w:val="00B218A5"/>
    <w:rsid w:val="00B24E78"/>
    <w:rsid w:val="00B946FE"/>
    <w:rsid w:val="00BA6CA6"/>
    <w:rsid w:val="00BA6E6C"/>
    <w:rsid w:val="00BB3AE1"/>
    <w:rsid w:val="00BD1773"/>
    <w:rsid w:val="00C12492"/>
    <w:rsid w:val="00C26BDA"/>
    <w:rsid w:val="00C51DC0"/>
    <w:rsid w:val="00C770C7"/>
    <w:rsid w:val="00CA5A58"/>
    <w:rsid w:val="00CC49B6"/>
    <w:rsid w:val="00CD1D8F"/>
    <w:rsid w:val="00CF10EA"/>
    <w:rsid w:val="00D053C3"/>
    <w:rsid w:val="00D26302"/>
    <w:rsid w:val="00D365FE"/>
    <w:rsid w:val="00D47D5B"/>
    <w:rsid w:val="00D62FEE"/>
    <w:rsid w:val="00D73D6E"/>
    <w:rsid w:val="00D84FBB"/>
    <w:rsid w:val="00DC0390"/>
    <w:rsid w:val="00DC2304"/>
    <w:rsid w:val="00DC2BE1"/>
    <w:rsid w:val="00DC3F77"/>
    <w:rsid w:val="00DC6A59"/>
    <w:rsid w:val="00DD5520"/>
    <w:rsid w:val="00DE07D1"/>
    <w:rsid w:val="00DF465E"/>
    <w:rsid w:val="00E00B9E"/>
    <w:rsid w:val="00E27B8E"/>
    <w:rsid w:val="00E33C3D"/>
    <w:rsid w:val="00E41376"/>
    <w:rsid w:val="00E72D3A"/>
    <w:rsid w:val="00E77FF4"/>
    <w:rsid w:val="00E92C98"/>
    <w:rsid w:val="00EB3E6D"/>
    <w:rsid w:val="00EB6D42"/>
    <w:rsid w:val="00ED05FA"/>
    <w:rsid w:val="00EF1EF1"/>
    <w:rsid w:val="00F53BF6"/>
    <w:rsid w:val="00F6411D"/>
    <w:rsid w:val="00F74791"/>
    <w:rsid w:val="00F849CB"/>
    <w:rsid w:val="00F95E4E"/>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 w:type="character" w:customStyle="1" w:styleId="apple-converted-space">
    <w:name w:val="apple-converted-space"/>
    <w:basedOn w:val="DefaultParagraphFont"/>
    <w:rsid w:val="0058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 w:type="character" w:customStyle="1" w:styleId="apple-converted-space">
    <w:name w:val="apple-converted-space"/>
    <w:basedOn w:val="DefaultParagraphFont"/>
    <w:rsid w:val="0058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Nils</dc:creator>
  <cp:lastModifiedBy>Tyler</cp:lastModifiedBy>
  <cp:revision>2</cp:revision>
  <dcterms:created xsi:type="dcterms:W3CDTF">2015-05-04T21:12:00Z</dcterms:created>
  <dcterms:modified xsi:type="dcterms:W3CDTF">2015-05-04T21:12:00Z</dcterms:modified>
</cp:coreProperties>
</file>