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4E" w:rsidRPr="00953FF8" w:rsidRDefault="002E5AC1" w:rsidP="00304DA9">
      <w:bookmarkStart w:id="0" w:name="_GoBack"/>
      <w:bookmarkEnd w:id="0"/>
      <w:r w:rsidRPr="00953FF8">
        <w:t>Macroeconomic Overview</w:t>
      </w:r>
      <w:r w:rsidR="00AE410B">
        <w:pict>
          <v:rect id="_x0000_i1025" style="width:468pt;height:1pt" o:hralign="center" o:hrstd="t" o:hrnoshade="t" o:hr="t" fillcolor="#ffc000" stroked="f"/>
        </w:pict>
      </w:r>
    </w:p>
    <w:tbl>
      <w:tblPr>
        <w:tblpPr w:leftFromText="180" w:rightFromText="180" w:vertAnchor="text" w:horzAnchor="margin" w:tblpX="108" w:tblpY="2943"/>
        <w:tblW w:w="0" w:type="auto"/>
        <w:tblLayout w:type="fixed"/>
        <w:tblLook w:val="04A0" w:firstRow="1" w:lastRow="0" w:firstColumn="1" w:lastColumn="0" w:noHBand="0" w:noVBand="1"/>
      </w:tblPr>
      <w:tblGrid>
        <w:gridCol w:w="2178"/>
        <w:gridCol w:w="2070"/>
        <w:gridCol w:w="1980"/>
      </w:tblGrid>
      <w:tr w:rsidR="00AE6E2D" w:rsidRPr="000A6DE6" w:rsidTr="00460A22">
        <w:trPr>
          <w:trHeight w:val="315"/>
        </w:trPr>
        <w:tc>
          <w:tcPr>
            <w:tcW w:w="2178" w:type="dxa"/>
            <w:tcBorders>
              <w:top w:val="single" w:sz="4" w:space="0" w:color="auto"/>
              <w:left w:val="single" w:sz="4" w:space="0" w:color="auto"/>
              <w:bottom w:val="nil"/>
              <w:right w:val="nil"/>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b/>
                <w:bCs/>
                <w:color w:val="FFFFFF"/>
              </w:rPr>
            </w:pPr>
            <w:r w:rsidRPr="000A6DE6">
              <w:rPr>
                <w:rFonts w:ascii="Garamond" w:eastAsia="Times New Roman" w:hAnsi="Garamond" w:cs="Times New Roman"/>
                <w:b/>
                <w:bCs/>
                <w:color w:val="FFFFFF"/>
              </w:rPr>
              <w:t>U.S. Stocks</w:t>
            </w:r>
          </w:p>
        </w:tc>
        <w:tc>
          <w:tcPr>
            <w:tcW w:w="2070" w:type="dxa"/>
            <w:tcBorders>
              <w:top w:val="single" w:sz="4" w:space="0" w:color="auto"/>
              <w:left w:val="nil"/>
              <w:bottom w:val="single" w:sz="4" w:space="0" w:color="auto"/>
              <w:right w:val="nil"/>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c>
          <w:tcPr>
            <w:tcW w:w="1980" w:type="dxa"/>
            <w:tcBorders>
              <w:top w:val="single" w:sz="4" w:space="0" w:color="auto"/>
              <w:left w:val="nil"/>
              <w:bottom w:val="nil"/>
              <w:right w:val="single" w:sz="4" w:space="0" w:color="auto"/>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r>
      <w:tr w:rsidR="00AE6E2D" w:rsidRPr="000A6DE6" w:rsidTr="00460A22">
        <w:trPr>
          <w:trHeight w:val="398"/>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40" w:lineRule="auto"/>
              <w:rPr>
                <w:rFonts w:ascii="Garamond" w:eastAsia="Times New Roman" w:hAnsi="Garamond" w:cs="Times New Roman"/>
                <w:b/>
                <w:bCs/>
                <w:color w:val="000000"/>
              </w:rPr>
            </w:pPr>
            <w:r w:rsidRPr="000A6DE6">
              <w:rPr>
                <w:rFonts w:ascii="Garamond" w:eastAsia="Times New Roman" w:hAnsi="Garamond" w:cs="Times New Roman"/>
                <w:b/>
                <w:bCs/>
                <w:color w:val="000000"/>
              </w:rPr>
              <w:t>Index</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Week-to-Date</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AE6E2D" w:rsidRPr="000A6DE6" w:rsidRDefault="00AE6E2D" w:rsidP="00460A2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Year-to-Date</w:t>
            </w:r>
          </w:p>
        </w:tc>
      </w:tr>
      <w:tr w:rsidR="00AE6E2D" w:rsidRPr="000A6DE6" w:rsidTr="00460A22">
        <w:trPr>
          <w:trHeight w:val="353"/>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DJIA</w:t>
            </w:r>
          </w:p>
        </w:tc>
        <w:tc>
          <w:tcPr>
            <w:tcW w:w="2070" w:type="dxa"/>
            <w:tcBorders>
              <w:top w:val="nil"/>
              <w:left w:val="single" w:sz="4" w:space="0" w:color="auto"/>
              <w:bottom w:val="nil"/>
              <w:right w:val="single" w:sz="4" w:space="0" w:color="auto"/>
            </w:tcBorders>
            <w:shd w:val="clear" w:color="auto" w:fill="auto"/>
            <w:noWrap/>
            <w:vAlign w:val="bottom"/>
            <w:hideMark/>
          </w:tcPr>
          <w:p w:rsidR="00AE6E2D" w:rsidRPr="000A6DE6" w:rsidRDefault="003E029D"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0.29</w:t>
            </w:r>
            <w:r w:rsidR="00AE6E2D" w:rsidRPr="000A6DE6">
              <w:rPr>
                <w:rFonts w:ascii="Garamond" w:eastAsia="Times New Roman" w:hAnsi="Garamond" w:cs="Times New Roman"/>
                <w:color w:val="000000"/>
              </w:rPr>
              <w:t>%</w:t>
            </w:r>
          </w:p>
        </w:tc>
        <w:tc>
          <w:tcPr>
            <w:tcW w:w="1980" w:type="dxa"/>
            <w:tcBorders>
              <w:top w:val="nil"/>
              <w:left w:val="nil"/>
              <w:bottom w:val="nil"/>
              <w:right w:val="single" w:sz="4" w:space="0" w:color="auto"/>
            </w:tcBorders>
            <w:shd w:val="clear" w:color="auto" w:fill="auto"/>
            <w:noWrap/>
            <w:vAlign w:val="bottom"/>
            <w:hideMark/>
          </w:tcPr>
          <w:p w:rsidR="00AE6E2D" w:rsidRPr="000A6DE6" w:rsidRDefault="003E029D"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0.27</w:t>
            </w:r>
            <w:r w:rsidR="00AE6E2D" w:rsidRPr="000A6DE6">
              <w:rPr>
                <w:rFonts w:ascii="Garamond" w:eastAsia="Times New Roman" w:hAnsi="Garamond" w:cs="Times New Roman"/>
                <w:color w:val="000000"/>
              </w:rPr>
              <w:t>%</w:t>
            </w:r>
          </w:p>
        </w:tc>
      </w:tr>
      <w:tr w:rsidR="00AE6E2D" w:rsidRPr="000A6DE6" w:rsidTr="00460A22">
        <w:trPr>
          <w:trHeight w:val="345"/>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S&amp;P 500</w:t>
            </w:r>
          </w:p>
        </w:tc>
        <w:tc>
          <w:tcPr>
            <w:tcW w:w="2070" w:type="dxa"/>
            <w:tcBorders>
              <w:top w:val="nil"/>
              <w:left w:val="single" w:sz="4" w:space="0" w:color="auto"/>
              <w:bottom w:val="nil"/>
              <w:right w:val="single" w:sz="4" w:space="0" w:color="auto"/>
            </w:tcBorders>
            <w:shd w:val="clear" w:color="auto" w:fill="auto"/>
            <w:noWrap/>
            <w:vAlign w:val="bottom"/>
            <w:hideMark/>
          </w:tcPr>
          <w:p w:rsidR="00AE6E2D" w:rsidRPr="000A6DE6" w:rsidRDefault="003E029D"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0.29</w:t>
            </w:r>
            <w:r w:rsidR="00AE6E2D" w:rsidRPr="000A6DE6">
              <w:rPr>
                <w:rFonts w:ascii="Garamond" w:eastAsia="Times New Roman" w:hAnsi="Garamond" w:cs="Times New Roman"/>
                <w:color w:val="000000"/>
              </w:rPr>
              <w:t>%</w:t>
            </w:r>
          </w:p>
        </w:tc>
        <w:tc>
          <w:tcPr>
            <w:tcW w:w="1980" w:type="dxa"/>
            <w:tcBorders>
              <w:top w:val="nil"/>
              <w:left w:val="nil"/>
              <w:bottom w:val="nil"/>
              <w:right w:val="single" w:sz="4" w:space="0" w:color="auto"/>
            </w:tcBorders>
            <w:shd w:val="clear" w:color="auto" w:fill="auto"/>
            <w:noWrap/>
            <w:vAlign w:val="bottom"/>
            <w:hideMark/>
          </w:tcPr>
          <w:p w:rsidR="00AE6E2D" w:rsidRPr="000A6DE6" w:rsidRDefault="003E029D"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0.92</w:t>
            </w:r>
            <w:r w:rsidR="00AE6E2D" w:rsidRPr="000A6DE6">
              <w:rPr>
                <w:rFonts w:ascii="Garamond" w:eastAsia="Times New Roman" w:hAnsi="Garamond" w:cs="Times New Roman"/>
                <w:color w:val="000000"/>
              </w:rPr>
              <w:t>%</w:t>
            </w:r>
          </w:p>
        </w:tc>
      </w:tr>
      <w:tr w:rsidR="00AE6E2D" w:rsidRPr="000A6DE6" w:rsidTr="00460A22">
        <w:trPr>
          <w:trHeight w:val="363"/>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NASDAQ Composite</w:t>
            </w:r>
          </w:p>
        </w:tc>
        <w:tc>
          <w:tcPr>
            <w:tcW w:w="2070" w:type="dxa"/>
            <w:tcBorders>
              <w:top w:val="nil"/>
              <w:left w:val="single" w:sz="4" w:space="0" w:color="auto"/>
              <w:bottom w:val="nil"/>
              <w:right w:val="single" w:sz="4" w:space="0" w:color="auto"/>
            </w:tcBorders>
            <w:shd w:val="clear" w:color="auto" w:fill="auto"/>
            <w:noWrap/>
            <w:vAlign w:val="bottom"/>
            <w:hideMark/>
          </w:tcPr>
          <w:p w:rsidR="00AE6E2D" w:rsidRPr="000A6DE6" w:rsidRDefault="00282257" w:rsidP="00756F06">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-0.0009</w:t>
            </w:r>
            <w:r w:rsidR="00AE6E2D" w:rsidRPr="000A6DE6">
              <w:rPr>
                <w:rFonts w:ascii="Garamond" w:eastAsia="Times New Roman" w:hAnsi="Garamond" w:cs="Times New Roman"/>
                <w:color w:val="000000"/>
              </w:rPr>
              <w:t>%</w:t>
            </w:r>
          </w:p>
        </w:tc>
        <w:tc>
          <w:tcPr>
            <w:tcW w:w="1980" w:type="dxa"/>
            <w:tcBorders>
              <w:top w:val="nil"/>
              <w:left w:val="nil"/>
              <w:bottom w:val="nil"/>
              <w:right w:val="single" w:sz="4" w:space="0" w:color="auto"/>
            </w:tcBorders>
            <w:shd w:val="clear" w:color="auto" w:fill="auto"/>
            <w:noWrap/>
            <w:vAlign w:val="bottom"/>
            <w:hideMark/>
          </w:tcPr>
          <w:p w:rsidR="00AE6E2D" w:rsidRPr="000A6DE6" w:rsidRDefault="00630D45" w:rsidP="003E029D">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3.</w:t>
            </w:r>
            <w:r w:rsidR="003E029D">
              <w:rPr>
                <w:rFonts w:ascii="Garamond" w:eastAsia="Times New Roman" w:hAnsi="Garamond" w:cs="Times New Roman"/>
                <w:color w:val="000000"/>
              </w:rPr>
              <w:t>57</w:t>
            </w:r>
            <w:r w:rsidR="00AE6E2D" w:rsidRPr="000A6DE6">
              <w:rPr>
                <w:rFonts w:ascii="Garamond" w:eastAsia="Times New Roman" w:hAnsi="Garamond" w:cs="Times New Roman"/>
                <w:color w:val="000000"/>
              </w:rPr>
              <w:t>%</w:t>
            </w:r>
          </w:p>
        </w:tc>
      </w:tr>
      <w:tr w:rsidR="00AE6E2D" w:rsidRPr="000A6DE6" w:rsidTr="00460A22">
        <w:trPr>
          <w:trHeight w:val="363"/>
        </w:trPr>
        <w:tc>
          <w:tcPr>
            <w:tcW w:w="2178" w:type="dxa"/>
            <w:tcBorders>
              <w:top w:val="nil"/>
              <w:left w:val="single" w:sz="4" w:space="0" w:color="auto"/>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Russell 2000</w:t>
            </w:r>
          </w:p>
        </w:tc>
        <w:tc>
          <w:tcPr>
            <w:tcW w:w="2070" w:type="dxa"/>
            <w:tcBorders>
              <w:top w:val="nil"/>
              <w:left w:val="single" w:sz="4" w:space="0" w:color="auto"/>
              <w:right w:val="single" w:sz="4" w:space="0" w:color="auto"/>
            </w:tcBorders>
            <w:shd w:val="clear" w:color="auto" w:fill="auto"/>
            <w:noWrap/>
            <w:vAlign w:val="bottom"/>
            <w:hideMark/>
          </w:tcPr>
          <w:p w:rsidR="00AE6E2D" w:rsidRPr="000A6DE6" w:rsidRDefault="00282257" w:rsidP="00756F06">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1.23</w:t>
            </w:r>
            <w:r w:rsidR="00AE6E2D" w:rsidRPr="000A6DE6">
              <w:rPr>
                <w:rFonts w:ascii="Garamond" w:eastAsia="Times New Roman" w:hAnsi="Garamond" w:cs="Times New Roman"/>
                <w:color w:val="000000"/>
              </w:rPr>
              <w:t>%</w:t>
            </w:r>
          </w:p>
        </w:tc>
        <w:tc>
          <w:tcPr>
            <w:tcW w:w="1980" w:type="dxa"/>
            <w:tcBorders>
              <w:top w:val="nil"/>
              <w:left w:val="nil"/>
              <w:right w:val="single" w:sz="4" w:space="0" w:color="auto"/>
            </w:tcBorders>
            <w:shd w:val="clear" w:color="auto" w:fill="auto"/>
            <w:noWrap/>
            <w:vAlign w:val="bottom"/>
            <w:hideMark/>
          </w:tcPr>
          <w:p w:rsidR="00AE6E2D" w:rsidRPr="000A6DE6" w:rsidRDefault="00282257"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4.57</w:t>
            </w:r>
            <w:r w:rsidR="00AE6E2D" w:rsidRPr="000A6DE6">
              <w:rPr>
                <w:rFonts w:ascii="Garamond" w:eastAsia="Times New Roman" w:hAnsi="Garamond" w:cs="Times New Roman"/>
                <w:color w:val="000000"/>
              </w:rPr>
              <w:t>%</w:t>
            </w:r>
          </w:p>
        </w:tc>
      </w:tr>
      <w:tr w:rsidR="00AE6E2D" w:rsidRPr="000A6DE6" w:rsidTr="00460A22">
        <w:trPr>
          <w:trHeight w:val="30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VIX</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AE6E2D" w:rsidRPr="000A6DE6" w:rsidRDefault="00282257"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-2.65</w:t>
            </w:r>
            <w:r w:rsidR="00AE6E2D" w:rsidRPr="000A6DE6">
              <w:rPr>
                <w:rFonts w:ascii="Garamond" w:eastAsia="Times New Roman" w:hAnsi="Garamond" w:cs="Times New Roman"/>
                <w:color w:val="000000"/>
              </w:rPr>
              <w:t>%</w:t>
            </w:r>
          </w:p>
        </w:tc>
        <w:tc>
          <w:tcPr>
            <w:tcW w:w="1980" w:type="dxa"/>
            <w:tcBorders>
              <w:top w:val="nil"/>
              <w:left w:val="nil"/>
              <w:bottom w:val="single" w:sz="4" w:space="0" w:color="auto"/>
              <w:right w:val="single" w:sz="4" w:space="0" w:color="auto"/>
            </w:tcBorders>
            <w:shd w:val="clear" w:color="auto" w:fill="auto"/>
            <w:noWrap/>
            <w:vAlign w:val="bottom"/>
            <w:hideMark/>
          </w:tcPr>
          <w:p w:rsidR="00AE6E2D" w:rsidRPr="000A6DE6" w:rsidRDefault="00D47D5B" w:rsidP="00282257">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w:t>
            </w:r>
            <w:r w:rsidR="00282257">
              <w:rPr>
                <w:rFonts w:ascii="Garamond" w:eastAsia="Times New Roman" w:hAnsi="Garamond" w:cs="Times New Roman"/>
                <w:color w:val="000000"/>
              </w:rPr>
              <w:t>23.59</w:t>
            </w:r>
            <w:r w:rsidR="00AE6E2D" w:rsidRPr="000A6DE6">
              <w:rPr>
                <w:rFonts w:ascii="Garamond" w:eastAsia="Times New Roman" w:hAnsi="Garamond" w:cs="Times New Roman"/>
                <w:color w:val="000000"/>
              </w:rPr>
              <w:t>%</w:t>
            </w:r>
          </w:p>
        </w:tc>
      </w:tr>
    </w:tbl>
    <w:p w:rsidR="00926DA1" w:rsidRPr="000A6DE6" w:rsidRDefault="00282257" w:rsidP="00926DA1">
      <w:pPr>
        <w:contextualSpacing/>
        <w:jc w:val="both"/>
        <w:rPr>
          <w:rFonts w:ascii="Garamond" w:hAnsi="Garamond"/>
        </w:rPr>
      </w:pPr>
      <w:r>
        <w:rPr>
          <w:rFonts w:ascii="Garamond" w:hAnsi="Garamond"/>
        </w:rPr>
        <w:t>During t</w:t>
      </w:r>
      <w:r w:rsidR="00F95E4E" w:rsidRPr="000A6DE6">
        <w:rPr>
          <w:rFonts w:ascii="Garamond" w:hAnsi="Garamond"/>
        </w:rPr>
        <w:t xml:space="preserve">his past </w:t>
      </w:r>
      <w:r>
        <w:rPr>
          <w:rFonts w:ascii="Garamond" w:hAnsi="Garamond"/>
        </w:rPr>
        <w:t xml:space="preserve">shortened trading </w:t>
      </w:r>
      <w:r w:rsidR="00F95E4E" w:rsidRPr="000A6DE6">
        <w:rPr>
          <w:rFonts w:ascii="Garamond" w:hAnsi="Garamond"/>
        </w:rPr>
        <w:t>week,</w:t>
      </w:r>
      <w:r w:rsidR="00E77FF4" w:rsidRPr="000A6DE6">
        <w:rPr>
          <w:rFonts w:ascii="Garamond" w:hAnsi="Garamond"/>
        </w:rPr>
        <w:t xml:space="preserve"> major U.S. indices </w:t>
      </w:r>
      <w:r>
        <w:rPr>
          <w:rFonts w:ascii="Garamond" w:hAnsi="Garamond"/>
        </w:rPr>
        <w:t>did not experience significant volatility. Small-cap stocks generally outperformed large-cap benchmarks.</w:t>
      </w:r>
      <w:r w:rsidR="00310057">
        <w:rPr>
          <w:rFonts w:ascii="Garamond" w:hAnsi="Garamond"/>
        </w:rPr>
        <w:t xml:space="preserve"> </w:t>
      </w:r>
      <w:r w:rsidR="00F95E4E" w:rsidRPr="000A6DE6">
        <w:rPr>
          <w:rFonts w:ascii="Garamond" w:hAnsi="Garamond"/>
        </w:rPr>
        <w:t xml:space="preserve">In effect, the Dow Jones Industrial Average and the NASDAQ Composite </w:t>
      </w:r>
      <w:r w:rsidR="0073094F">
        <w:rPr>
          <w:rFonts w:ascii="Garamond" w:hAnsi="Garamond"/>
        </w:rPr>
        <w:t>remained relatively stable</w:t>
      </w:r>
      <w:r w:rsidR="00EF1EF1">
        <w:rPr>
          <w:rFonts w:ascii="Garamond" w:hAnsi="Garamond"/>
        </w:rPr>
        <w:t xml:space="preserve"> on a weekly basis </w:t>
      </w:r>
      <w:r w:rsidR="0073094F">
        <w:rPr>
          <w:rFonts w:ascii="Garamond" w:hAnsi="Garamond"/>
        </w:rPr>
        <w:t>with returns of</w:t>
      </w:r>
      <w:r w:rsidR="00F95E4E" w:rsidRPr="000A6DE6">
        <w:rPr>
          <w:rFonts w:ascii="Garamond" w:hAnsi="Garamond"/>
        </w:rPr>
        <w:t xml:space="preserve"> </w:t>
      </w:r>
      <w:r w:rsidR="0073094F">
        <w:rPr>
          <w:rFonts w:ascii="Garamond" w:hAnsi="Garamond"/>
        </w:rPr>
        <w:t>0.29</w:t>
      </w:r>
      <w:r w:rsidR="00EF1EF1">
        <w:rPr>
          <w:rFonts w:ascii="Garamond" w:hAnsi="Garamond"/>
        </w:rPr>
        <w:t>%</w:t>
      </w:r>
      <w:r w:rsidR="00F95E4E" w:rsidRPr="000A6DE6">
        <w:rPr>
          <w:rFonts w:ascii="Garamond" w:hAnsi="Garamond"/>
        </w:rPr>
        <w:t xml:space="preserve"> and </w:t>
      </w:r>
      <w:r w:rsidR="0073094F">
        <w:rPr>
          <w:rFonts w:ascii="Garamond" w:hAnsi="Garamond"/>
        </w:rPr>
        <w:t>-0.0009%</w:t>
      </w:r>
      <w:r w:rsidR="00F95E4E" w:rsidRPr="000A6DE6">
        <w:rPr>
          <w:rFonts w:ascii="Garamond" w:hAnsi="Garamond"/>
        </w:rPr>
        <w:t xml:space="preserve"> respectively</w:t>
      </w:r>
      <w:r w:rsidR="0094546A" w:rsidRPr="000A6DE6">
        <w:rPr>
          <w:rFonts w:ascii="Garamond" w:hAnsi="Garamond"/>
        </w:rPr>
        <w:t>,</w:t>
      </w:r>
      <w:r w:rsidR="00F95E4E" w:rsidRPr="000A6DE6">
        <w:rPr>
          <w:rFonts w:ascii="Garamond" w:hAnsi="Garamond"/>
        </w:rPr>
        <w:t xml:space="preserve"> while the </w:t>
      </w:r>
      <w:r w:rsidR="0094546A" w:rsidRPr="000A6DE6">
        <w:rPr>
          <w:rFonts w:ascii="Garamond" w:hAnsi="Garamond"/>
        </w:rPr>
        <w:t xml:space="preserve">S&amp;P 500 </w:t>
      </w:r>
      <w:r w:rsidR="0073094F">
        <w:rPr>
          <w:rFonts w:ascii="Garamond" w:hAnsi="Garamond"/>
        </w:rPr>
        <w:t>gained</w:t>
      </w:r>
      <w:r w:rsidR="0094546A" w:rsidRPr="000A6DE6">
        <w:rPr>
          <w:rFonts w:ascii="Garamond" w:hAnsi="Garamond"/>
        </w:rPr>
        <w:t xml:space="preserve"> </w:t>
      </w:r>
      <w:r w:rsidR="0073094F">
        <w:rPr>
          <w:rFonts w:ascii="Garamond" w:hAnsi="Garamond"/>
        </w:rPr>
        <w:t>0.29</w:t>
      </w:r>
      <w:r w:rsidR="0094546A" w:rsidRPr="000A6DE6">
        <w:rPr>
          <w:rFonts w:ascii="Garamond" w:hAnsi="Garamond"/>
        </w:rPr>
        <w:t xml:space="preserve">% during the last week. Small cap stocks measured by the Russell 2000 index </w:t>
      </w:r>
      <w:r w:rsidR="00F74791">
        <w:rPr>
          <w:rFonts w:ascii="Garamond" w:hAnsi="Garamond"/>
        </w:rPr>
        <w:t>experienced the greatest returns, yielding</w:t>
      </w:r>
      <w:r w:rsidR="0094546A" w:rsidRPr="000A6DE6">
        <w:rPr>
          <w:rFonts w:ascii="Garamond" w:hAnsi="Garamond"/>
        </w:rPr>
        <w:t xml:space="preserve"> </w:t>
      </w:r>
      <w:r w:rsidR="00F74791">
        <w:rPr>
          <w:rFonts w:ascii="Garamond" w:hAnsi="Garamond"/>
        </w:rPr>
        <w:t>1.23</w:t>
      </w:r>
      <w:r w:rsidR="0094546A" w:rsidRPr="000A6DE6">
        <w:rPr>
          <w:rFonts w:ascii="Garamond" w:hAnsi="Garamond"/>
        </w:rPr>
        <w:t>%</w:t>
      </w:r>
      <w:r w:rsidR="00992714">
        <w:rPr>
          <w:rFonts w:ascii="Garamond" w:hAnsi="Garamond"/>
        </w:rPr>
        <w:t xml:space="preserve"> throughout the week</w:t>
      </w:r>
      <w:r w:rsidR="0094546A" w:rsidRPr="000A6DE6">
        <w:rPr>
          <w:rFonts w:ascii="Garamond" w:hAnsi="Garamond"/>
        </w:rPr>
        <w:t xml:space="preserve">. </w:t>
      </w:r>
      <w:r w:rsidR="00526CCE" w:rsidRPr="000A6DE6">
        <w:rPr>
          <w:rFonts w:ascii="Garamond" w:hAnsi="Garamond"/>
        </w:rPr>
        <w:t xml:space="preserve">The VIX week-to-date change of </w:t>
      </w:r>
      <w:r w:rsidR="00F74791">
        <w:rPr>
          <w:rFonts w:ascii="Garamond" w:hAnsi="Garamond"/>
        </w:rPr>
        <w:t>-2.65</w:t>
      </w:r>
      <w:r w:rsidR="00526CCE" w:rsidRPr="000A6DE6">
        <w:rPr>
          <w:rFonts w:ascii="Garamond" w:hAnsi="Garamond"/>
        </w:rPr>
        <w:t>% indicates that volatility levels</w:t>
      </w:r>
      <w:r w:rsidR="00AC1B73">
        <w:rPr>
          <w:rFonts w:ascii="Garamond" w:hAnsi="Garamond"/>
        </w:rPr>
        <w:t xml:space="preserve"> </w:t>
      </w:r>
      <w:r w:rsidR="00F74791">
        <w:rPr>
          <w:rFonts w:ascii="Garamond" w:hAnsi="Garamond"/>
        </w:rPr>
        <w:t>de</w:t>
      </w:r>
      <w:r w:rsidR="009F32BF">
        <w:rPr>
          <w:rFonts w:ascii="Garamond" w:hAnsi="Garamond"/>
        </w:rPr>
        <w:t>creased</w:t>
      </w:r>
      <w:r w:rsidR="001C0C02">
        <w:rPr>
          <w:rFonts w:ascii="Garamond" w:hAnsi="Garamond"/>
        </w:rPr>
        <w:t xml:space="preserve"> </w:t>
      </w:r>
      <w:r w:rsidR="009F32BF">
        <w:rPr>
          <w:rFonts w:ascii="Garamond" w:hAnsi="Garamond"/>
        </w:rPr>
        <w:t>during the</w:t>
      </w:r>
      <w:r w:rsidR="001C0C02">
        <w:rPr>
          <w:rFonts w:ascii="Garamond" w:hAnsi="Garamond"/>
        </w:rPr>
        <w:t xml:space="preserve"> week</w:t>
      </w:r>
      <w:r w:rsidR="00992714">
        <w:rPr>
          <w:rFonts w:ascii="Garamond" w:hAnsi="Garamond"/>
        </w:rPr>
        <w:t>,</w:t>
      </w:r>
      <w:r w:rsidR="001C0C02">
        <w:rPr>
          <w:rFonts w:ascii="Garamond" w:hAnsi="Garamond"/>
        </w:rPr>
        <w:t xml:space="preserve"> leading to a year-to-date change of -</w:t>
      </w:r>
      <w:r w:rsidR="00F74791">
        <w:rPr>
          <w:rFonts w:ascii="Garamond" w:hAnsi="Garamond"/>
        </w:rPr>
        <w:t>23.59</w:t>
      </w:r>
      <w:r w:rsidR="001C0C02">
        <w:rPr>
          <w:rFonts w:ascii="Garamond" w:hAnsi="Garamond"/>
        </w:rPr>
        <w:t xml:space="preserve">%. </w:t>
      </w:r>
      <w:r w:rsidR="00534791">
        <w:rPr>
          <w:rFonts w:ascii="Garamond" w:hAnsi="Garamond"/>
        </w:rPr>
        <w:t>The yield of</w:t>
      </w:r>
      <w:r w:rsidR="003654A1" w:rsidRPr="000A6DE6">
        <w:rPr>
          <w:rFonts w:ascii="Garamond" w:hAnsi="Garamond"/>
        </w:rPr>
        <w:t xml:space="preserve"> the</w:t>
      </w:r>
      <w:r w:rsidR="00526CCE" w:rsidRPr="000A6DE6">
        <w:rPr>
          <w:rFonts w:ascii="Garamond" w:hAnsi="Garamond"/>
        </w:rPr>
        <w:t xml:space="preserve"> 10</w:t>
      </w:r>
      <w:r w:rsidR="003654A1" w:rsidRPr="000A6DE6">
        <w:rPr>
          <w:rFonts w:ascii="Garamond" w:hAnsi="Garamond"/>
        </w:rPr>
        <w:t>-</w:t>
      </w:r>
      <w:r w:rsidR="00526CCE" w:rsidRPr="000A6DE6">
        <w:rPr>
          <w:rFonts w:ascii="Garamond" w:hAnsi="Garamond"/>
        </w:rPr>
        <w:t xml:space="preserve">year </w:t>
      </w:r>
      <w:r w:rsidR="003654A1" w:rsidRPr="000A6DE6">
        <w:rPr>
          <w:rFonts w:ascii="Garamond" w:hAnsi="Garamond"/>
        </w:rPr>
        <w:t>U.S. T-n</w:t>
      </w:r>
      <w:r w:rsidR="00526CCE" w:rsidRPr="000A6DE6">
        <w:rPr>
          <w:rFonts w:ascii="Garamond" w:hAnsi="Garamond"/>
        </w:rPr>
        <w:t>ote</w:t>
      </w:r>
      <w:r w:rsidR="003654A1" w:rsidRPr="000A6DE6">
        <w:rPr>
          <w:rFonts w:ascii="Garamond" w:hAnsi="Garamond"/>
        </w:rPr>
        <w:t xml:space="preserve"> </w:t>
      </w:r>
      <w:r w:rsidR="0073094F">
        <w:rPr>
          <w:rFonts w:ascii="Garamond" w:hAnsi="Garamond"/>
        </w:rPr>
        <w:t>de</w:t>
      </w:r>
      <w:r w:rsidR="009F32BF">
        <w:rPr>
          <w:rFonts w:ascii="Garamond" w:hAnsi="Garamond"/>
        </w:rPr>
        <w:t>cr</w:t>
      </w:r>
      <w:r w:rsidR="003654A1" w:rsidRPr="000A6DE6">
        <w:rPr>
          <w:rFonts w:ascii="Garamond" w:hAnsi="Garamond"/>
        </w:rPr>
        <w:t xml:space="preserve">eased by </w:t>
      </w:r>
      <w:r w:rsidR="0073094F">
        <w:rPr>
          <w:rFonts w:ascii="Garamond" w:hAnsi="Garamond"/>
        </w:rPr>
        <w:t>11</w:t>
      </w:r>
      <w:r w:rsidR="003654A1" w:rsidRPr="000A6DE6">
        <w:rPr>
          <w:rFonts w:ascii="Garamond" w:hAnsi="Garamond"/>
        </w:rPr>
        <w:t xml:space="preserve"> basis points to </w:t>
      </w:r>
      <w:r w:rsidR="00D84FBB">
        <w:rPr>
          <w:rFonts w:ascii="Garamond" w:hAnsi="Garamond"/>
        </w:rPr>
        <w:t>1.</w:t>
      </w:r>
      <w:r w:rsidR="0073094F">
        <w:rPr>
          <w:rFonts w:ascii="Garamond" w:hAnsi="Garamond"/>
        </w:rPr>
        <w:t>84</w:t>
      </w:r>
      <w:r w:rsidR="00836878">
        <w:rPr>
          <w:rFonts w:ascii="Garamond" w:hAnsi="Garamond"/>
        </w:rPr>
        <w:t>%</w:t>
      </w:r>
      <w:r w:rsidR="00526CCE" w:rsidRPr="000A6DE6">
        <w:rPr>
          <w:rFonts w:ascii="Garamond" w:hAnsi="Garamond"/>
        </w:rPr>
        <w:t xml:space="preserve">. </w:t>
      </w:r>
      <w:r w:rsidR="003654A1" w:rsidRPr="000A6DE6">
        <w:rPr>
          <w:rFonts w:ascii="Garamond" w:hAnsi="Garamond"/>
        </w:rPr>
        <w:t>In addition,</w:t>
      </w:r>
      <w:r w:rsidR="00526CCE" w:rsidRPr="000A6DE6">
        <w:rPr>
          <w:rFonts w:ascii="Garamond" w:hAnsi="Garamond"/>
        </w:rPr>
        <w:t xml:space="preserve"> </w:t>
      </w:r>
      <w:r w:rsidR="00745500">
        <w:rPr>
          <w:rFonts w:ascii="Garamond" w:hAnsi="Garamond"/>
        </w:rPr>
        <w:t xml:space="preserve">the price of </w:t>
      </w:r>
      <w:r w:rsidR="00526CCE" w:rsidRPr="000A6DE6">
        <w:rPr>
          <w:rFonts w:ascii="Garamond" w:hAnsi="Garamond"/>
        </w:rPr>
        <w:t xml:space="preserve">oil </w:t>
      </w:r>
      <w:r w:rsidR="0073094F">
        <w:rPr>
          <w:rFonts w:ascii="Garamond" w:hAnsi="Garamond"/>
        </w:rPr>
        <w:t>de</w:t>
      </w:r>
      <w:r w:rsidR="00992714">
        <w:rPr>
          <w:rFonts w:ascii="Garamond" w:hAnsi="Garamond"/>
        </w:rPr>
        <w:t>creased</w:t>
      </w:r>
      <w:r w:rsidR="003C2C57">
        <w:rPr>
          <w:rFonts w:ascii="Garamond" w:hAnsi="Garamond"/>
        </w:rPr>
        <w:t xml:space="preserve"> throughout the week</w:t>
      </w:r>
      <w:r w:rsidR="003E4F58">
        <w:rPr>
          <w:rFonts w:ascii="Garamond" w:hAnsi="Garamond"/>
        </w:rPr>
        <w:t xml:space="preserve"> </w:t>
      </w:r>
      <w:r w:rsidR="003C2C57">
        <w:rPr>
          <w:rFonts w:ascii="Garamond" w:hAnsi="Garamond"/>
        </w:rPr>
        <w:t xml:space="preserve">by </w:t>
      </w:r>
      <w:r w:rsidR="0073094F">
        <w:rPr>
          <w:rFonts w:ascii="Garamond" w:hAnsi="Garamond"/>
        </w:rPr>
        <w:t>0.43</w:t>
      </w:r>
      <w:r w:rsidR="003C2C57">
        <w:rPr>
          <w:rFonts w:ascii="Garamond" w:hAnsi="Garamond"/>
        </w:rPr>
        <w:t xml:space="preserve">% </w:t>
      </w:r>
      <w:r w:rsidR="003E4F58">
        <w:rPr>
          <w:rFonts w:ascii="Garamond" w:hAnsi="Garamond"/>
        </w:rPr>
        <w:t xml:space="preserve">to </w:t>
      </w:r>
      <w:r w:rsidR="00712DDA" w:rsidRPr="000A6DE6">
        <w:rPr>
          <w:rFonts w:ascii="Garamond" w:hAnsi="Garamond"/>
        </w:rPr>
        <w:t>a price</w:t>
      </w:r>
      <w:r w:rsidR="003654A1" w:rsidRPr="000A6DE6">
        <w:rPr>
          <w:rFonts w:ascii="Garamond" w:hAnsi="Garamond"/>
        </w:rPr>
        <w:t xml:space="preserve"> of $</w:t>
      </w:r>
      <w:r w:rsidR="009F32BF">
        <w:rPr>
          <w:rFonts w:ascii="Garamond" w:hAnsi="Garamond"/>
        </w:rPr>
        <w:t>48.</w:t>
      </w:r>
      <w:r w:rsidR="0073094F">
        <w:rPr>
          <w:rFonts w:ascii="Garamond" w:hAnsi="Garamond"/>
        </w:rPr>
        <w:t>66</w:t>
      </w:r>
      <w:r w:rsidR="003C2C57">
        <w:rPr>
          <w:rFonts w:ascii="Garamond" w:hAnsi="Garamond"/>
        </w:rPr>
        <w:t>/bbl</w:t>
      </w:r>
      <w:r w:rsidR="003E4F58">
        <w:rPr>
          <w:rFonts w:ascii="Garamond" w:hAnsi="Garamond"/>
        </w:rPr>
        <w:t>.</w:t>
      </w:r>
      <w:r w:rsidR="003F5848">
        <w:rPr>
          <w:rFonts w:ascii="Garamond" w:hAnsi="Garamond"/>
        </w:rPr>
        <w:t xml:space="preserve"> </w:t>
      </w:r>
    </w:p>
    <w:p w:rsidR="00176317" w:rsidRDefault="00F6411D" w:rsidP="006A7B31">
      <w:pPr>
        <w:contextualSpacing/>
        <w:jc w:val="both"/>
        <w:rPr>
          <w:rFonts w:ascii="Garamond" w:hAnsi="Garamond"/>
        </w:rPr>
      </w:pPr>
      <w:r w:rsidRPr="000A6DE6">
        <w:rPr>
          <w:rFonts w:ascii="Garamond" w:hAnsi="Garamond"/>
        </w:rPr>
        <w:t xml:space="preserve">This week’s </w:t>
      </w:r>
      <w:r w:rsidR="00F74791">
        <w:rPr>
          <w:rFonts w:ascii="Garamond" w:hAnsi="Garamond"/>
        </w:rPr>
        <w:t>market movements</w:t>
      </w:r>
      <w:r w:rsidRPr="000A6DE6">
        <w:rPr>
          <w:rFonts w:ascii="Garamond" w:hAnsi="Garamond"/>
        </w:rPr>
        <w:t xml:space="preserve"> w</w:t>
      </w:r>
      <w:r w:rsidR="00F74791">
        <w:rPr>
          <w:rFonts w:ascii="Garamond" w:hAnsi="Garamond"/>
        </w:rPr>
        <w:t>ere</w:t>
      </w:r>
      <w:r w:rsidRPr="000A6DE6">
        <w:rPr>
          <w:rFonts w:ascii="Garamond" w:hAnsi="Garamond"/>
        </w:rPr>
        <w:t xml:space="preserve"> primarily driven by </w:t>
      </w:r>
      <w:r w:rsidR="00D365FE">
        <w:rPr>
          <w:rFonts w:ascii="Garamond" w:hAnsi="Garamond"/>
        </w:rPr>
        <w:t xml:space="preserve">negative </w:t>
      </w:r>
      <w:r w:rsidR="00AA6A6B">
        <w:rPr>
          <w:rFonts w:ascii="Garamond" w:hAnsi="Garamond"/>
        </w:rPr>
        <w:t>U.S. manufacturing data</w:t>
      </w:r>
      <w:r w:rsidR="00D365FE">
        <w:rPr>
          <w:rFonts w:ascii="Garamond" w:hAnsi="Garamond"/>
        </w:rPr>
        <w:t xml:space="preserve">, </w:t>
      </w:r>
      <w:r w:rsidR="00AA6A6B">
        <w:rPr>
          <w:rFonts w:ascii="Garamond" w:hAnsi="Garamond"/>
        </w:rPr>
        <w:t>as well as the continuing pressure of the strong U.S. dollar on the market</w:t>
      </w:r>
      <w:r w:rsidR="007C46B0">
        <w:rPr>
          <w:rFonts w:ascii="Garamond" w:hAnsi="Garamond"/>
        </w:rPr>
        <w:t xml:space="preserve">. </w:t>
      </w:r>
      <w:r w:rsidR="005D56CA">
        <w:rPr>
          <w:rFonts w:ascii="Garamond" w:hAnsi="Garamond"/>
        </w:rPr>
        <w:t xml:space="preserve">Disappointing U.S. manufacturing data </w:t>
      </w:r>
      <w:r w:rsidR="005F7964">
        <w:rPr>
          <w:rFonts w:ascii="Garamond" w:hAnsi="Garamond"/>
        </w:rPr>
        <w:t>weigh</w:t>
      </w:r>
      <w:r w:rsidR="00176317">
        <w:rPr>
          <w:rFonts w:ascii="Garamond" w:hAnsi="Garamond"/>
        </w:rPr>
        <w:t>s</w:t>
      </w:r>
      <w:r w:rsidR="005F7964">
        <w:rPr>
          <w:rFonts w:ascii="Garamond" w:hAnsi="Garamond"/>
        </w:rPr>
        <w:t xml:space="preserve"> on consumer sentiment. The Institute for Supply Management reported a decline in their purchasing manager’s index for the fifth consecutive month due to slower growth in factory activity</w:t>
      </w:r>
      <w:r w:rsidR="00176317">
        <w:rPr>
          <w:rFonts w:ascii="Garamond" w:hAnsi="Garamond"/>
        </w:rPr>
        <w:t>,</w:t>
      </w:r>
      <w:r w:rsidR="005F7964">
        <w:rPr>
          <w:rFonts w:ascii="Garamond" w:hAnsi="Garamond"/>
        </w:rPr>
        <w:t xml:space="preserve"> primarily in the manufacturing heavy Midwest region. </w:t>
      </w:r>
    </w:p>
    <w:p w:rsidR="00A5625E" w:rsidRDefault="005F7964" w:rsidP="006A7B31">
      <w:pPr>
        <w:contextualSpacing/>
        <w:jc w:val="both"/>
        <w:rPr>
          <w:rFonts w:ascii="Garamond" w:hAnsi="Garamond"/>
        </w:rPr>
      </w:pPr>
      <w:r>
        <w:rPr>
          <w:rFonts w:ascii="Garamond" w:hAnsi="Garamond"/>
        </w:rPr>
        <w:t xml:space="preserve">In comparison, the European manufacturing sector currently records strong gains outperforming economists’ expectations in the past months. </w:t>
      </w:r>
      <w:r w:rsidR="00324A6D">
        <w:rPr>
          <w:rFonts w:ascii="Garamond" w:hAnsi="Garamond"/>
        </w:rPr>
        <w:t xml:space="preserve">In March, the Eurozone’s manufacturing PMI increased by 2.35%. The sector’s activity </w:t>
      </w:r>
      <w:r w:rsidR="00DF465E">
        <w:rPr>
          <w:rFonts w:ascii="Garamond" w:hAnsi="Garamond"/>
        </w:rPr>
        <w:t>i</w:t>
      </w:r>
      <w:r w:rsidR="00324A6D">
        <w:rPr>
          <w:rFonts w:ascii="Garamond" w:hAnsi="Garamond"/>
        </w:rPr>
        <w:t>ncreas</w:t>
      </w:r>
      <w:r w:rsidR="00DF465E">
        <w:rPr>
          <w:rFonts w:ascii="Garamond" w:hAnsi="Garamond"/>
        </w:rPr>
        <w:t>ed</w:t>
      </w:r>
      <w:r w:rsidR="00324A6D">
        <w:rPr>
          <w:rFonts w:ascii="Garamond" w:hAnsi="Garamond"/>
        </w:rPr>
        <w:t xml:space="preserve"> by its fastest rate in </w:t>
      </w:r>
      <w:r w:rsidR="00DF465E">
        <w:rPr>
          <w:rFonts w:ascii="Garamond" w:hAnsi="Garamond"/>
        </w:rPr>
        <w:t xml:space="preserve">over </w:t>
      </w:r>
      <w:r w:rsidR="00324A6D">
        <w:rPr>
          <w:rFonts w:ascii="Garamond" w:hAnsi="Garamond"/>
        </w:rPr>
        <w:t xml:space="preserve">10 months. </w:t>
      </w:r>
      <w:r w:rsidR="00DF465E">
        <w:rPr>
          <w:rFonts w:ascii="Garamond" w:hAnsi="Garamond"/>
        </w:rPr>
        <w:t xml:space="preserve">In addition, the UK manufacturing PMI increased by its fastest growth rate in over eight months. Their overall economy grew at a rate of 2.8% in 2014, 0.2% higher than expectations of 2.6%. </w:t>
      </w:r>
      <w:r>
        <w:rPr>
          <w:rFonts w:ascii="Garamond" w:hAnsi="Garamond"/>
        </w:rPr>
        <w:t xml:space="preserve">The superior performance of European firms proves the current effect of the strong dollar on global markets. The strong dollar makes U.S. firms currently less competitive in global markets. </w:t>
      </w:r>
      <w:r w:rsidR="00324A6D">
        <w:rPr>
          <w:rFonts w:ascii="Garamond" w:hAnsi="Garamond"/>
        </w:rPr>
        <w:t>This explains the present superior performance of small-cap stocks</w:t>
      </w:r>
      <w:r w:rsidR="00176317">
        <w:rPr>
          <w:rFonts w:ascii="Garamond" w:hAnsi="Garamond"/>
        </w:rPr>
        <w:t>,</w:t>
      </w:r>
      <w:r w:rsidR="00324A6D">
        <w:rPr>
          <w:rFonts w:ascii="Garamond" w:hAnsi="Garamond"/>
        </w:rPr>
        <w:t xml:space="preserve"> since only one fifth of </w:t>
      </w:r>
      <w:r w:rsidR="00DF465E">
        <w:rPr>
          <w:rFonts w:ascii="Garamond" w:hAnsi="Garamond"/>
        </w:rPr>
        <w:t xml:space="preserve">the </w:t>
      </w:r>
      <w:r w:rsidR="00324A6D">
        <w:rPr>
          <w:rFonts w:ascii="Garamond" w:hAnsi="Garamond"/>
        </w:rPr>
        <w:t xml:space="preserve">Russell 2000 </w:t>
      </w:r>
      <w:r w:rsidR="00DF465E">
        <w:rPr>
          <w:rFonts w:ascii="Garamond" w:hAnsi="Garamond"/>
        </w:rPr>
        <w:t xml:space="preserve">Index </w:t>
      </w:r>
      <w:r w:rsidR="00324A6D">
        <w:rPr>
          <w:rFonts w:ascii="Garamond" w:hAnsi="Garamond"/>
        </w:rPr>
        <w:t>companies get their revenue share</w:t>
      </w:r>
      <w:r w:rsidR="00176317">
        <w:rPr>
          <w:rFonts w:ascii="Garamond" w:hAnsi="Garamond"/>
        </w:rPr>
        <w:t>s</w:t>
      </w:r>
      <w:r w:rsidR="00324A6D">
        <w:rPr>
          <w:rFonts w:ascii="Garamond" w:hAnsi="Garamond"/>
        </w:rPr>
        <w:t xml:space="preserve"> from exports</w:t>
      </w:r>
      <w:r w:rsidR="00176317">
        <w:rPr>
          <w:rFonts w:ascii="Garamond" w:hAnsi="Garamond"/>
        </w:rPr>
        <w:t>.</w:t>
      </w:r>
      <w:r w:rsidR="00324A6D">
        <w:rPr>
          <w:rFonts w:ascii="Garamond" w:hAnsi="Garamond"/>
        </w:rPr>
        <w:t xml:space="preserve"> </w:t>
      </w:r>
      <w:r w:rsidR="00176317">
        <w:rPr>
          <w:rFonts w:ascii="Garamond" w:hAnsi="Garamond"/>
        </w:rPr>
        <w:t xml:space="preserve">In comparison, </w:t>
      </w:r>
      <w:r w:rsidR="00324A6D">
        <w:rPr>
          <w:rFonts w:ascii="Garamond" w:hAnsi="Garamond"/>
        </w:rPr>
        <w:t>S&amp;P 500 companies receive over one third of their revenue</w:t>
      </w:r>
      <w:r w:rsidR="00176317">
        <w:rPr>
          <w:rFonts w:ascii="Garamond" w:hAnsi="Garamond"/>
        </w:rPr>
        <w:t>s</w:t>
      </w:r>
      <w:r w:rsidR="00324A6D">
        <w:rPr>
          <w:rFonts w:ascii="Garamond" w:hAnsi="Garamond"/>
        </w:rPr>
        <w:t xml:space="preserve"> from overseas.</w:t>
      </w:r>
    </w:p>
    <w:p w:rsidR="00DF465E" w:rsidRDefault="00DF465E" w:rsidP="006A7B31">
      <w:pPr>
        <w:contextualSpacing/>
        <w:jc w:val="both"/>
        <w:rPr>
          <w:rFonts w:ascii="Garamond" w:hAnsi="Garamond"/>
        </w:rPr>
      </w:pPr>
      <w:r>
        <w:rPr>
          <w:rFonts w:ascii="Garamond" w:hAnsi="Garamond"/>
        </w:rPr>
        <w:t xml:space="preserve">The Asian markets currently do not benefit from the strong dollar and their economies’ growth continues to slow down, especially in China. China’s manufacturing PMI, which is seen as the country’s economic growth driver, continues to slow down and only grew by 0.4% in March. </w:t>
      </w:r>
      <w:r w:rsidR="00704C21">
        <w:rPr>
          <w:rFonts w:ascii="Garamond" w:hAnsi="Garamond"/>
        </w:rPr>
        <w:t>Japan’s industrial sector experienced declines in February for the first time in over three months. Industrial production declined by 3.4% which was much higher than expected. The decline is primarily caused by weaker Japanese household spending which leads businesses to reduce capital investment, giving the economy currently no opportunity for growth.</w:t>
      </w:r>
    </w:p>
    <w:p w:rsidR="00DC2BE1" w:rsidRDefault="00DC2BE1" w:rsidP="00550DBE">
      <w:pPr>
        <w:contextualSpacing/>
        <w:jc w:val="both"/>
        <w:rPr>
          <w:rFonts w:ascii="Garamond" w:hAnsi="Garamond"/>
        </w:rPr>
      </w:pPr>
    </w:p>
    <w:p w:rsidR="004744A3" w:rsidRPr="000A6DE6" w:rsidRDefault="00D73D6E" w:rsidP="00550DBE">
      <w:pPr>
        <w:contextualSpacing/>
        <w:jc w:val="both"/>
        <w:rPr>
          <w:rFonts w:ascii="Garamond" w:hAnsi="Garamond"/>
        </w:rPr>
      </w:pPr>
      <w:r w:rsidRPr="000A6DE6">
        <w:rPr>
          <w:rFonts w:ascii="Garamond" w:hAnsi="Garamond"/>
        </w:rPr>
        <w:t xml:space="preserve">Next week, investors will be looking forward to see data from different economic reports that </w:t>
      </w:r>
      <w:r w:rsidR="0024233C">
        <w:rPr>
          <w:rFonts w:ascii="Garamond" w:hAnsi="Garamond"/>
        </w:rPr>
        <w:t xml:space="preserve">will have an impact on the </w:t>
      </w:r>
      <w:r w:rsidR="00891405">
        <w:rPr>
          <w:rFonts w:ascii="Garamond" w:hAnsi="Garamond"/>
        </w:rPr>
        <w:t xml:space="preserve">global </w:t>
      </w:r>
      <w:r w:rsidR="0045475F">
        <w:rPr>
          <w:rFonts w:ascii="Garamond" w:hAnsi="Garamond"/>
        </w:rPr>
        <w:t xml:space="preserve">markets. On </w:t>
      </w:r>
      <w:r w:rsidR="005E76FF">
        <w:rPr>
          <w:rFonts w:ascii="Garamond" w:hAnsi="Garamond"/>
        </w:rPr>
        <w:t>Monday</w:t>
      </w:r>
      <w:r w:rsidR="00550DBE">
        <w:rPr>
          <w:rFonts w:ascii="Garamond" w:hAnsi="Garamond"/>
        </w:rPr>
        <w:t xml:space="preserve"> </w:t>
      </w:r>
      <w:r w:rsidR="005E76FF">
        <w:rPr>
          <w:rFonts w:ascii="Garamond" w:hAnsi="Garamond"/>
        </w:rPr>
        <w:t>6</w:t>
      </w:r>
      <w:r w:rsidR="005E76FF">
        <w:rPr>
          <w:rFonts w:ascii="Garamond" w:hAnsi="Garamond"/>
          <w:vertAlign w:val="superscript"/>
        </w:rPr>
        <w:t>th</w:t>
      </w:r>
      <w:r w:rsidR="005E76FF">
        <w:rPr>
          <w:rFonts w:ascii="Garamond" w:hAnsi="Garamond"/>
        </w:rPr>
        <w:t>, Canada will release data about their economy’s Purchasing Manager Index (PMI) (Mar). On the same day Australia reports on their economy’s retail sales change (</w:t>
      </w:r>
      <w:proofErr w:type="spellStart"/>
      <w:r w:rsidR="005E76FF">
        <w:rPr>
          <w:rFonts w:ascii="Garamond" w:hAnsi="Garamond"/>
        </w:rPr>
        <w:t>MoM</w:t>
      </w:r>
      <w:proofErr w:type="spellEnd"/>
      <w:r w:rsidR="005E76FF">
        <w:rPr>
          <w:rFonts w:ascii="Garamond" w:hAnsi="Garamond"/>
        </w:rPr>
        <w:t>) (Mar).</w:t>
      </w:r>
      <w:r w:rsidR="008A1504">
        <w:rPr>
          <w:rFonts w:ascii="Garamond" w:hAnsi="Garamond"/>
        </w:rPr>
        <w:t xml:space="preserve"> On Tuesday 7</w:t>
      </w:r>
      <w:r w:rsidR="008A1504" w:rsidRPr="008A1504">
        <w:rPr>
          <w:rFonts w:ascii="Garamond" w:hAnsi="Garamond"/>
          <w:vertAlign w:val="superscript"/>
        </w:rPr>
        <w:t>th</w:t>
      </w:r>
      <w:r w:rsidR="008A1504">
        <w:rPr>
          <w:rFonts w:ascii="Garamond" w:hAnsi="Garamond"/>
        </w:rPr>
        <w:t>, the Reserve Bank of Australia as well as the Reserve Bank of India will decide on their countries’ interest rate changes. On the same day the U.K. will report on their economy’s Services PMI (Mar). On Thursday 9</w:t>
      </w:r>
      <w:r w:rsidR="008A1504" w:rsidRPr="008A1504">
        <w:rPr>
          <w:rFonts w:ascii="Garamond" w:hAnsi="Garamond"/>
          <w:vertAlign w:val="superscript"/>
        </w:rPr>
        <w:t>th</w:t>
      </w:r>
      <w:r w:rsidR="008A1504">
        <w:rPr>
          <w:rFonts w:ascii="Garamond" w:hAnsi="Garamond"/>
        </w:rPr>
        <w:t xml:space="preserve">, the Bank of England will decide on their country’s interest rate changes. On the same day, </w:t>
      </w:r>
      <w:r w:rsidR="008A1504">
        <w:rPr>
          <w:rFonts w:ascii="Garamond" w:hAnsi="Garamond"/>
        </w:rPr>
        <w:lastRenderedPageBreak/>
        <w:t>China will report on their country’s Consumer Price Index (CPI) (</w:t>
      </w:r>
      <w:proofErr w:type="spellStart"/>
      <w:r w:rsidR="008A1504">
        <w:rPr>
          <w:rFonts w:ascii="Garamond" w:hAnsi="Garamond"/>
        </w:rPr>
        <w:t>YoY</w:t>
      </w:r>
      <w:proofErr w:type="spellEnd"/>
      <w:r w:rsidR="008A1504">
        <w:rPr>
          <w:rFonts w:ascii="Garamond" w:hAnsi="Garamond"/>
        </w:rPr>
        <w:t>). On Friday 10</w:t>
      </w:r>
      <w:r w:rsidR="008A1504" w:rsidRPr="008A1504">
        <w:rPr>
          <w:rFonts w:ascii="Garamond" w:hAnsi="Garamond"/>
          <w:vertAlign w:val="superscript"/>
        </w:rPr>
        <w:t>th</w:t>
      </w:r>
      <w:r w:rsidR="008A1504">
        <w:rPr>
          <w:rFonts w:ascii="Garamond" w:hAnsi="Garamond"/>
        </w:rPr>
        <w:t>, the U.K. will report on the country’s manufacturing production (</w:t>
      </w:r>
      <w:proofErr w:type="spellStart"/>
      <w:r w:rsidR="008A1504">
        <w:rPr>
          <w:rFonts w:ascii="Garamond" w:hAnsi="Garamond"/>
        </w:rPr>
        <w:t>MoM</w:t>
      </w:r>
      <w:proofErr w:type="spellEnd"/>
      <w:r w:rsidR="008A1504">
        <w:rPr>
          <w:rFonts w:ascii="Garamond" w:hAnsi="Garamond"/>
        </w:rPr>
        <w:t>) (Feb) and Canada will release data about the country’s employment change (Mar) as well as the country’s unemployment rate.</w:t>
      </w:r>
    </w:p>
    <w:sectPr w:rsidR="004744A3" w:rsidRPr="000A6DE6" w:rsidSect="00EB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7147F"/>
    <w:multiLevelType w:val="hybridMultilevel"/>
    <w:tmpl w:val="12DCE288"/>
    <w:lvl w:ilvl="0" w:tplc="733C2C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C1"/>
    <w:rsid w:val="000870AC"/>
    <w:rsid w:val="000A6DE6"/>
    <w:rsid w:val="000D04D6"/>
    <w:rsid w:val="000D6ADB"/>
    <w:rsid w:val="000E75FB"/>
    <w:rsid w:val="000F460F"/>
    <w:rsid w:val="00176317"/>
    <w:rsid w:val="00192982"/>
    <w:rsid w:val="001A3122"/>
    <w:rsid w:val="001C0C02"/>
    <w:rsid w:val="00202E36"/>
    <w:rsid w:val="00233E80"/>
    <w:rsid w:val="0024233C"/>
    <w:rsid w:val="002445B0"/>
    <w:rsid w:val="00282257"/>
    <w:rsid w:val="0029252F"/>
    <w:rsid w:val="002A53CB"/>
    <w:rsid w:val="002E4BD6"/>
    <w:rsid w:val="002E5AC1"/>
    <w:rsid w:val="00304DA9"/>
    <w:rsid w:val="00310057"/>
    <w:rsid w:val="00310538"/>
    <w:rsid w:val="00316AEF"/>
    <w:rsid w:val="00324A6D"/>
    <w:rsid w:val="00356C5A"/>
    <w:rsid w:val="003654A1"/>
    <w:rsid w:val="003C2C57"/>
    <w:rsid w:val="003C7A9D"/>
    <w:rsid w:val="003D18A1"/>
    <w:rsid w:val="003D430F"/>
    <w:rsid w:val="003E029D"/>
    <w:rsid w:val="003E4F58"/>
    <w:rsid w:val="003F5848"/>
    <w:rsid w:val="0045340A"/>
    <w:rsid w:val="0045475F"/>
    <w:rsid w:val="00460A22"/>
    <w:rsid w:val="00472A54"/>
    <w:rsid w:val="004744A3"/>
    <w:rsid w:val="00476B85"/>
    <w:rsid w:val="004A20C2"/>
    <w:rsid w:val="004A6339"/>
    <w:rsid w:val="004B4937"/>
    <w:rsid w:val="004C4C1E"/>
    <w:rsid w:val="00503B6B"/>
    <w:rsid w:val="00526CCE"/>
    <w:rsid w:val="00534791"/>
    <w:rsid w:val="00542260"/>
    <w:rsid w:val="00550DBE"/>
    <w:rsid w:val="0058375A"/>
    <w:rsid w:val="005D56CA"/>
    <w:rsid w:val="005E76FF"/>
    <w:rsid w:val="005F7964"/>
    <w:rsid w:val="00630D45"/>
    <w:rsid w:val="0066746B"/>
    <w:rsid w:val="0069389F"/>
    <w:rsid w:val="006A7B31"/>
    <w:rsid w:val="00704C21"/>
    <w:rsid w:val="00712DDA"/>
    <w:rsid w:val="007216F6"/>
    <w:rsid w:val="0073094F"/>
    <w:rsid w:val="00745500"/>
    <w:rsid w:val="00756F06"/>
    <w:rsid w:val="00773F5A"/>
    <w:rsid w:val="007C46B0"/>
    <w:rsid w:val="00800FAD"/>
    <w:rsid w:val="00836878"/>
    <w:rsid w:val="008430D2"/>
    <w:rsid w:val="00855778"/>
    <w:rsid w:val="00876ED0"/>
    <w:rsid w:val="00891405"/>
    <w:rsid w:val="008A1504"/>
    <w:rsid w:val="008C583B"/>
    <w:rsid w:val="00903617"/>
    <w:rsid w:val="00910027"/>
    <w:rsid w:val="00926DA1"/>
    <w:rsid w:val="0094546A"/>
    <w:rsid w:val="0095358C"/>
    <w:rsid w:val="00953FF8"/>
    <w:rsid w:val="00961874"/>
    <w:rsid w:val="00992714"/>
    <w:rsid w:val="009A703C"/>
    <w:rsid w:val="009D1585"/>
    <w:rsid w:val="009F32BF"/>
    <w:rsid w:val="00A12C20"/>
    <w:rsid w:val="00A15921"/>
    <w:rsid w:val="00A24576"/>
    <w:rsid w:val="00A24FEE"/>
    <w:rsid w:val="00A5625E"/>
    <w:rsid w:val="00A5696A"/>
    <w:rsid w:val="00AA6A6B"/>
    <w:rsid w:val="00AC1B73"/>
    <w:rsid w:val="00AE410B"/>
    <w:rsid w:val="00AE6E2D"/>
    <w:rsid w:val="00AE7EA0"/>
    <w:rsid w:val="00B218A5"/>
    <w:rsid w:val="00BA6E6C"/>
    <w:rsid w:val="00BD1773"/>
    <w:rsid w:val="00C12492"/>
    <w:rsid w:val="00C26BDA"/>
    <w:rsid w:val="00C770C7"/>
    <w:rsid w:val="00CA5A58"/>
    <w:rsid w:val="00CC49B6"/>
    <w:rsid w:val="00CD1D8F"/>
    <w:rsid w:val="00CF10EA"/>
    <w:rsid w:val="00D053C3"/>
    <w:rsid w:val="00D26302"/>
    <w:rsid w:val="00D365FE"/>
    <w:rsid w:val="00D47D5B"/>
    <w:rsid w:val="00D62FEE"/>
    <w:rsid w:val="00D73D6E"/>
    <w:rsid w:val="00D84FBB"/>
    <w:rsid w:val="00DC0390"/>
    <w:rsid w:val="00DC2304"/>
    <w:rsid w:val="00DC2BE1"/>
    <w:rsid w:val="00DC3F77"/>
    <w:rsid w:val="00DC6A59"/>
    <w:rsid w:val="00DF465E"/>
    <w:rsid w:val="00E00B9E"/>
    <w:rsid w:val="00E33C3D"/>
    <w:rsid w:val="00E72D3A"/>
    <w:rsid w:val="00E77FF4"/>
    <w:rsid w:val="00E92C98"/>
    <w:rsid w:val="00EB3E6D"/>
    <w:rsid w:val="00ED05FA"/>
    <w:rsid w:val="00EF1EF1"/>
    <w:rsid w:val="00F53BF6"/>
    <w:rsid w:val="00F6411D"/>
    <w:rsid w:val="00F74791"/>
    <w:rsid w:val="00F849CB"/>
    <w:rsid w:val="00F95E4E"/>
    <w:rsid w:val="00FB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Weddig, Nils</dc:creator>
  <cp:lastModifiedBy>Tyler</cp:lastModifiedBy>
  <cp:revision>2</cp:revision>
  <dcterms:created xsi:type="dcterms:W3CDTF">2015-04-06T00:07:00Z</dcterms:created>
  <dcterms:modified xsi:type="dcterms:W3CDTF">2015-04-06T00:07:00Z</dcterms:modified>
</cp:coreProperties>
</file>