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77"/>
        <w:tblW w:w="9637" w:type="dxa"/>
        <w:tblLayout w:type="fixed"/>
        <w:tblLook w:val="04A0" w:firstRow="1" w:lastRow="0" w:firstColumn="1" w:lastColumn="0" w:noHBand="0" w:noVBand="1"/>
      </w:tblPr>
      <w:tblGrid>
        <w:gridCol w:w="1286"/>
        <w:gridCol w:w="815"/>
        <w:gridCol w:w="5525"/>
        <w:gridCol w:w="1087"/>
        <w:gridCol w:w="924"/>
      </w:tblGrid>
      <w:tr w:rsidR="001021DB" w:rsidTr="005A400D">
        <w:trPr>
          <w:trHeight w:val="151"/>
        </w:trPr>
        <w:tc>
          <w:tcPr>
            <w:tcW w:w="1286" w:type="dxa"/>
          </w:tcPr>
          <w:p w:rsidR="00175F41" w:rsidRPr="003764DD" w:rsidRDefault="00175F41" w:rsidP="008B76BC">
            <w:pPr>
              <w:rPr>
                <w:b/>
                <w:sz w:val="18"/>
                <w:szCs w:val="18"/>
              </w:rPr>
            </w:pPr>
            <w:bookmarkStart w:id="0" w:name="_GoBack"/>
            <w:bookmarkEnd w:id="0"/>
            <w:r w:rsidRPr="003764DD">
              <w:rPr>
                <w:b/>
                <w:sz w:val="18"/>
                <w:szCs w:val="18"/>
              </w:rPr>
              <w:t>Stock</w:t>
            </w:r>
          </w:p>
        </w:tc>
        <w:tc>
          <w:tcPr>
            <w:tcW w:w="815" w:type="dxa"/>
          </w:tcPr>
          <w:p w:rsidR="00175F41" w:rsidRPr="00D03B56" w:rsidRDefault="00162AD6" w:rsidP="008B76BC">
            <w:pPr>
              <w:jc w:val="center"/>
              <w:rPr>
                <w:rFonts w:ascii="Garamond" w:hAnsi="Garamond"/>
                <w:b/>
                <w:sz w:val="18"/>
                <w:szCs w:val="18"/>
              </w:rPr>
            </w:pPr>
            <w:r>
              <w:rPr>
                <w:rFonts w:ascii="Garamond" w:hAnsi="Garamond"/>
                <w:b/>
                <w:sz w:val="18"/>
                <w:szCs w:val="18"/>
              </w:rPr>
              <w:t>Buy/ Short</w:t>
            </w:r>
          </w:p>
        </w:tc>
        <w:tc>
          <w:tcPr>
            <w:tcW w:w="5525"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Thesis</w:t>
            </w:r>
          </w:p>
        </w:tc>
        <w:tc>
          <w:tcPr>
            <w:tcW w:w="1087"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Current Price</w:t>
            </w:r>
          </w:p>
        </w:tc>
        <w:tc>
          <w:tcPr>
            <w:tcW w:w="924"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Target Price</w:t>
            </w:r>
          </w:p>
        </w:tc>
      </w:tr>
      <w:tr w:rsidR="001021DB" w:rsidTr="005A400D">
        <w:trPr>
          <w:trHeight w:val="151"/>
        </w:trPr>
        <w:tc>
          <w:tcPr>
            <w:tcW w:w="1286" w:type="dxa"/>
          </w:tcPr>
          <w:p w:rsidR="00175F41" w:rsidRPr="003764DD" w:rsidRDefault="003764DD" w:rsidP="008B76BC">
            <w:pPr>
              <w:rPr>
                <w:rFonts w:eastAsia="Times New Roman" w:cs="Times New Roman"/>
                <w:sz w:val="18"/>
                <w:szCs w:val="18"/>
              </w:rPr>
            </w:pPr>
            <w:proofErr w:type="spellStart"/>
            <w:r w:rsidRPr="003764DD">
              <w:rPr>
                <w:rFonts w:eastAsia="Times New Roman" w:cs="Times New Roman"/>
                <w:sz w:val="18"/>
                <w:szCs w:val="18"/>
              </w:rPr>
              <w:t>Acceleron</w:t>
            </w:r>
            <w:proofErr w:type="spellEnd"/>
            <w:r w:rsidRPr="003764DD">
              <w:rPr>
                <w:rFonts w:eastAsia="Times New Roman" w:cs="Times New Roman"/>
                <w:sz w:val="18"/>
                <w:szCs w:val="18"/>
              </w:rPr>
              <w:t xml:space="preserve"> Pharma, Inc. </w:t>
            </w:r>
          </w:p>
          <w:p w:rsidR="003764DD" w:rsidRPr="003764DD" w:rsidRDefault="003764DD" w:rsidP="003764DD">
            <w:pPr>
              <w:rPr>
                <w:rFonts w:eastAsia="Times New Roman" w:cs="Times New Roman"/>
                <w:sz w:val="18"/>
                <w:szCs w:val="18"/>
              </w:rPr>
            </w:pPr>
            <w:r w:rsidRPr="003764DD">
              <w:rPr>
                <w:rFonts w:eastAsia="Times New Roman" w:cs="Times New Roman"/>
                <w:sz w:val="18"/>
                <w:szCs w:val="18"/>
              </w:rPr>
              <w:t>$XLRN</w:t>
            </w:r>
          </w:p>
          <w:p w:rsidR="003764DD" w:rsidRPr="003764DD" w:rsidRDefault="003764DD" w:rsidP="008B76BC">
            <w:pPr>
              <w:rPr>
                <w:b/>
                <w:sz w:val="18"/>
                <w:szCs w:val="18"/>
              </w:rPr>
            </w:pPr>
          </w:p>
        </w:tc>
        <w:tc>
          <w:tcPr>
            <w:tcW w:w="815" w:type="dxa"/>
          </w:tcPr>
          <w:p w:rsidR="00175F41" w:rsidRPr="00C820FA" w:rsidRDefault="00162AD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3764DD" w:rsidRPr="003764DD" w:rsidRDefault="003764DD" w:rsidP="003764DD">
            <w:pPr>
              <w:rPr>
                <w:rFonts w:ascii="Garamond" w:eastAsia="Times New Roman" w:hAnsi="Garamond" w:cs="Times New Roman"/>
                <w:sz w:val="16"/>
                <w:szCs w:val="16"/>
              </w:rPr>
            </w:pPr>
            <w:proofErr w:type="spellStart"/>
            <w:r w:rsidRPr="003764DD">
              <w:rPr>
                <w:rFonts w:ascii="Garamond" w:eastAsia="Times New Roman" w:hAnsi="Garamond" w:cs="Times New Roman"/>
                <w:sz w:val="16"/>
                <w:szCs w:val="16"/>
              </w:rPr>
              <w:t>Acceleron</w:t>
            </w:r>
            <w:proofErr w:type="spellEnd"/>
            <w:r w:rsidRPr="003764DD">
              <w:rPr>
                <w:rFonts w:ascii="Garamond" w:eastAsia="Times New Roman" w:hAnsi="Garamond" w:cs="Times New Roman"/>
                <w:sz w:val="16"/>
                <w:szCs w:val="16"/>
              </w:rPr>
              <w:t xml:space="preserve"> has a highly productive discovery and</w:t>
            </w:r>
            <w:r>
              <w:rPr>
                <w:rFonts w:ascii="Garamond" w:eastAsia="Times New Roman" w:hAnsi="Garamond" w:cs="Times New Roman"/>
                <w:sz w:val="16"/>
                <w:szCs w:val="16"/>
              </w:rPr>
              <w:t xml:space="preserve"> </w:t>
            </w:r>
            <w:r w:rsidRPr="003764DD">
              <w:rPr>
                <w:rFonts w:ascii="Garamond" w:eastAsia="Times New Roman" w:hAnsi="Garamond" w:cs="Times New Roman"/>
                <w:sz w:val="16"/>
                <w:szCs w:val="16"/>
              </w:rPr>
              <w:t>development platform that is creating a deep and</w:t>
            </w:r>
            <w:r>
              <w:rPr>
                <w:rFonts w:ascii="Garamond" w:eastAsia="Times New Roman" w:hAnsi="Garamond" w:cs="Times New Roman"/>
                <w:sz w:val="16"/>
                <w:szCs w:val="16"/>
              </w:rPr>
              <w:t xml:space="preserve"> </w:t>
            </w:r>
            <w:r w:rsidRPr="003764DD">
              <w:rPr>
                <w:rFonts w:ascii="Garamond" w:eastAsia="Times New Roman" w:hAnsi="Garamond" w:cs="Times New Roman"/>
                <w:sz w:val="16"/>
                <w:szCs w:val="16"/>
              </w:rPr>
              <w:t>robust pipeline. Their pipeline is widely diversified</w:t>
            </w:r>
            <w:r>
              <w:rPr>
                <w:rFonts w:ascii="Garamond" w:eastAsia="Times New Roman" w:hAnsi="Garamond" w:cs="Times New Roman"/>
                <w:sz w:val="16"/>
                <w:szCs w:val="16"/>
              </w:rPr>
              <w:t xml:space="preserve"> </w:t>
            </w:r>
            <w:r w:rsidRPr="003764DD">
              <w:rPr>
                <w:rFonts w:ascii="Garamond" w:eastAsia="Times New Roman" w:hAnsi="Garamond" w:cs="Times New Roman"/>
                <w:sz w:val="16"/>
                <w:szCs w:val="16"/>
              </w:rPr>
              <w:t>across many different diseases, many of which have a</w:t>
            </w:r>
            <w:r>
              <w:rPr>
                <w:rFonts w:ascii="Garamond" w:eastAsia="Times New Roman" w:hAnsi="Garamond" w:cs="Times New Roman"/>
                <w:sz w:val="16"/>
                <w:szCs w:val="16"/>
              </w:rPr>
              <w:t xml:space="preserve"> </w:t>
            </w:r>
            <w:r w:rsidRPr="003764DD">
              <w:rPr>
                <w:rFonts w:ascii="Garamond" w:eastAsia="Times New Roman" w:hAnsi="Garamond" w:cs="Times New Roman"/>
                <w:sz w:val="16"/>
                <w:szCs w:val="16"/>
              </w:rPr>
              <w:t>large unmet need for treatment. They are poised for</w:t>
            </w:r>
            <w:r>
              <w:rPr>
                <w:rFonts w:ascii="Garamond" w:eastAsia="Times New Roman" w:hAnsi="Garamond" w:cs="Times New Roman"/>
                <w:sz w:val="16"/>
                <w:szCs w:val="16"/>
              </w:rPr>
              <w:t xml:space="preserve"> </w:t>
            </w:r>
            <w:r w:rsidRPr="003764DD">
              <w:rPr>
                <w:rFonts w:ascii="Garamond" w:eastAsia="Times New Roman" w:hAnsi="Garamond" w:cs="Times New Roman"/>
                <w:sz w:val="16"/>
                <w:szCs w:val="16"/>
              </w:rPr>
              <w:t>significant value creation in 2015, as they have many</w:t>
            </w:r>
          </w:p>
          <w:p w:rsidR="003764DD" w:rsidRPr="003764DD" w:rsidRDefault="003764DD" w:rsidP="003764DD">
            <w:pPr>
              <w:rPr>
                <w:rFonts w:ascii="Garamond" w:eastAsia="Times New Roman" w:hAnsi="Garamond" w:cs="Times New Roman"/>
                <w:sz w:val="16"/>
                <w:szCs w:val="16"/>
              </w:rPr>
            </w:pPr>
            <w:proofErr w:type="gramStart"/>
            <w:r w:rsidRPr="003764DD">
              <w:rPr>
                <w:rFonts w:ascii="Garamond" w:eastAsia="Times New Roman" w:hAnsi="Garamond" w:cs="Times New Roman"/>
                <w:sz w:val="16"/>
                <w:szCs w:val="16"/>
              </w:rPr>
              <w:t>upcoming</w:t>
            </w:r>
            <w:proofErr w:type="gramEnd"/>
            <w:r w:rsidRPr="003764DD">
              <w:rPr>
                <w:rFonts w:ascii="Garamond" w:eastAsia="Times New Roman" w:hAnsi="Garamond" w:cs="Times New Roman"/>
                <w:sz w:val="16"/>
                <w:szCs w:val="16"/>
              </w:rPr>
              <w:t xml:space="preserve"> catalysts as their products move into</w:t>
            </w:r>
            <w:r>
              <w:rPr>
                <w:rFonts w:ascii="Garamond" w:eastAsia="Times New Roman" w:hAnsi="Garamond" w:cs="Times New Roman"/>
                <w:sz w:val="16"/>
                <w:szCs w:val="16"/>
              </w:rPr>
              <w:t xml:space="preserve"> </w:t>
            </w:r>
            <w:r w:rsidRPr="003764DD">
              <w:rPr>
                <w:rFonts w:ascii="Garamond" w:eastAsia="Times New Roman" w:hAnsi="Garamond" w:cs="Times New Roman"/>
                <w:sz w:val="16"/>
                <w:szCs w:val="16"/>
              </w:rPr>
              <w:t>different stages of development, which will drive their</w:t>
            </w:r>
            <w:r>
              <w:rPr>
                <w:rFonts w:ascii="Garamond" w:eastAsia="Times New Roman" w:hAnsi="Garamond" w:cs="Times New Roman"/>
                <w:sz w:val="16"/>
                <w:szCs w:val="16"/>
              </w:rPr>
              <w:t xml:space="preserve"> </w:t>
            </w:r>
            <w:r w:rsidRPr="003764DD">
              <w:rPr>
                <w:rFonts w:ascii="Garamond" w:eastAsia="Times New Roman" w:hAnsi="Garamond" w:cs="Times New Roman"/>
                <w:sz w:val="16"/>
                <w:szCs w:val="16"/>
              </w:rPr>
              <w:t>stock price. They also have a potentially lucrative</w:t>
            </w:r>
          </w:p>
          <w:p w:rsidR="00175F41" w:rsidRPr="00E9058C" w:rsidRDefault="003764DD" w:rsidP="003764DD">
            <w:pPr>
              <w:rPr>
                <w:rFonts w:ascii="Garamond" w:eastAsia="Times New Roman" w:hAnsi="Garamond" w:cs="Times New Roman"/>
                <w:sz w:val="16"/>
                <w:szCs w:val="16"/>
              </w:rPr>
            </w:pPr>
            <w:proofErr w:type="gramStart"/>
            <w:r w:rsidRPr="003764DD">
              <w:rPr>
                <w:rFonts w:ascii="Garamond" w:eastAsia="Times New Roman" w:hAnsi="Garamond" w:cs="Times New Roman"/>
                <w:sz w:val="16"/>
                <w:szCs w:val="16"/>
              </w:rPr>
              <w:t>partnership</w:t>
            </w:r>
            <w:proofErr w:type="gramEnd"/>
            <w:r w:rsidRPr="003764DD">
              <w:rPr>
                <w:rFonts w:ascii="Garamond" w:eastAsia="Times New Roman" w:hAnsi="Garamond" w:cs="Times New Roman"/>
                <w:sz w:val="16"/>
                <w:szCs w:val="16"/>
              </w:rPr>
              <w:t xml:space="preserve"> with pharmaceutical giant Celgene, that</w:t>
            </w:r>
            <w:r>
              <w:rPr>
                <w:rFonts w:ascii="Garamond" w:eastAsia="Times New Roman" w:hAnsi="Garamond" w:cs="Times New Roman"/>
                <w:sz w:val="16"/>
                <w:szCs w:val="16"/>
              </w:rPr>
              <w:t xml:space="preserve"> </w:t>
            </w:r>
            <w:r w:rsidRPr="003764DD">
              <w:rPr>
                <w:rFonts w:ascii="Garamond" w:eastAsia="Times New Roman" w:hAnsi="Garamond" w:cs="Times New Roman"/>
                <w:sz w:val="16"/>
                <w:szCs w:val="16"/>
              </w:rPr>
              <w:t>provides them with opportunities in the future.</w:t>
            </w:r>
          </w:p>
        </w:tc>
        <w:tc>
          <w:tcPr>
            <w:tcW w:w="1087" w:type="dxa"/>
          </w:tcPr>
          <w:p w:rsidR="00175F41" w:rsidRPr="00C820FA" w:rsidRDefault="00175F41" w:rsidP="008B76BC">
            <w:pPr>
              <w:jc w:val="center"/>
              <w:rPr>
                <w:rFonts w:ascii="Garamond" w:hAnsi="Garamond"/>
                <w:sz w:val="20"/>
                <w:szCs w:val="20"/>
              </w:rPr>
            </w:pPr>
            <w:r w:rsidRPr="00C820FA">
              <w:rPr>
                <w:rFonts w:ascii="Garamond" w:hAnsi="Garamond"/>
                <w:sz w:val="20"/>
                <w:szCs w:val="20"/>
              </w:rPr>
              <w:t>$</w:t>
            </w:r>
            <w:r w:rsidR="003764DD">
              <w:rPr>
                <w:rFonts w:ascii="Garamond" w:hAnsi="Garamond"/>
                <w:sz w:val="20"/>
                <w:szCs w:val="20"/>
              </w:rPr>
              <w:t>35.16</w:t>
            </w:r>
          </w:p>
          <w:p w:rsidR="00175F41" w:rsidRPr="00C820FA" w:rsidRDefault="00175F41" w:rsidP="008B76BC">
            <w:pPr>
              <w:jc w:val="center"/>
              <w:rPr>
                <w:rFonts w:ascii="Garamond" w:hAnsi="Garamond"/>
                <w:sz w:val="20"/>
                <w:szCs w:val="20"/>
              </w:rPr>
            </w:pPr>
          </w:p>
        </w:tc>
        <w:tc>
          <w:tcPr>
            <w:tcW w:w="924" w:type="dxa"/>
          </w:tcPr>
          <w:p w:rsidR="00175F41" w:rsidRPr="00C820FA" w:rsidRDefault="003764DD" w:rsidP="008B76BC">
            <w:pPr>
              <w:jc w:val="center"/>
              <w:rPr>
                <w:rFonts w:ascii="Garamond" w:hAnsi="Garamond"/>
                <w:sz w:val="20"/>
                <w:szCs w:val="20"/>
              </w:rPr>
            </w:pPr>
            <w:r>
              <w:rPr>
                <w:rFonts w:ascii="Garamond" w:hAnsi="Garamond"/>
                <w:sz w:val="20"/>
                <w:szCs w:val="20"/>
              </w:rPr>
              <w:t>$56.78</w:t>
            </w:r>
          </w:p>
          <w:p w:rsidR="00175F41" w:rsidRPr="00C820FA" w:rsidRDefault="00175F41" w:rsidP="008B76BC">
            <w:pPr>
              <w:jc w:val="center"/>
              <w:rPr>
                <w:rFonts w:ascii="Garamond" w:hAnsi="Garamond"/>
                <w:sz w:val="20"/>
                <w:szCs w:val="20"/>
              </w:rPr>
            </w:pPr>
          </w:p>
        </w:tc>
      </w:tr>
      <w:tr w:rsidR="001021DB" w:rsidTr="005A400D">
        <w:trPr>
          <w:trHeight w:val="151"/>
        </w:trPr>
        <w:tc>
          <w:tcPr>
            <w:tcW w:w="1286" w:type="dxa"/>
          </w:tcPr>
          <w:p w:rsidR="00E9058C" w:rsidRDefault="003764DD" w:rsidP="008B76BC">
            <w:pPr>
              <w:rPr>
                <w:rFonts w:eastAsia="Times New Roman" w:cs="Times New Roman"/>
                <w:sz w:val="18"/>
                <w:szCs w:val="20"/>
              </w:rPr>
            </w:pPr>
            <w:r w:rsidRPr="003764DD">
              <w:rPr>
                <w:rFonts w:eastAsia="Times New Roman" w:cs="Times New Roman"/>
                <w:sz w:val="18"/>
                <w:szCs w:val="20"/>
              </w:rPr>
              <w:t xml:space="preserve">Alliance Fiber Optic Products, Inc. </w:t>
            </w:r>
          </w:p>
          <w:p w:rsidR="003764DD" w:rsidRPr="003764DD" w:rsidRDefault="003764DD" w:rsidP="003764DD">
            <w:pPr>
              <w:rPr>
                <w:rFonts w:ascii="Times" w:eastAsia="Times New Roman" w:hAnsi="Times" w:cs="Times New Roman"/>
                <w:sz w:val="20"/>
                <w:szCs w:val="20"/>
              </w:rPr>
            </w:pPr>
            <w:r>
              <w:rPr>
                <w:rFonts w:eastAsia="Times New Roman" w:cs="Times New Roman"/>
                <w:sz w:val="18"/>
                <w:szCs w:val="20"/>
              </w:rPr>
              <w:t>$</w:t>
            </w:r>
            <w:r w:rsidRPr="003764DD">
              <w:rPr>
                <w:rFonts w:ascii="Times" w:eastAsia="Times New Roman" w:hAnsi="Times" w:cs="Times New Roman"/>
                <w:sz w:val="20"/>
                <w:szCs w:val="20"/>
              </w:rPr>
              <w:t>AFOP</w:t>
            </w:r>
          </w:p>
          <w:p w:rsidR="003764DD" w:rsidRPr="00175F41" w:rsidRDefault="003764DD" w:rsidP="008B76BC">
            <w:pPr>
              <w:rPr>
                <w:sz w:val="18"/>
                <w:szCs w:val="18"/>
              </w:rPr>
            </w:pPr>
          </w:p>
        </w:tc>
        <w:tc>
          <w:tcPr>
            <w:tcW w:w="815" w:type="dxa"/>
          </w:tcPr>
          <w:p w:rsidR="00175F41" w:rsidRPr="00C820FA" w:rsidRDefault="00E9058C" w:rsidP="00DF0B75">
            <w:pPr>
              <w:jc w:val="center"/>
              <w:rPr>
                <w:rFonts w:ascii="Garamond" w:hAnsi="Garamond"/>
                <w:sz w:val="24"/>
                <w:szCs w:val="24"/>
              </w:rPr>
            </w:pPr>
            <w:r>
              <w:rPr>
                <w:rFonts w:ascii="Garamond" w:hAnsi="Garamond"/>
                <w:sz w:val="24"/>
                <w:szCs w:val="24"/>
              </w:rPr>
              <w:t xml:space="preserve">Buy </w:t>
            </w:r>
          </w:p>
        </w:tc>
        <w:tc>
          <w:tcPr>
            <w:tcW w:w="5525" w:type="dxa"/>
          </w:tcPr>
          <w:p w:rsidR="003764DD" w:rsidRPr="003764DD" w:rsidRDefault="00DF0B75" w:rsidP="003764DD">
            <w:pPr>
              <w:rPr>
                <w:rFonts w:ascii="Garamond" w:eastAsia="Times New Roman" w:hAnsi="Garamond" w:cs="Times New Roman"/>
                <w:sz w:val="16"/>
                <w:szCs w:val="20"/>
              </w:rPr>
            </w:pPr>
            <w:proofErr w:type="spellStart"/>
            <w:r w:rsidRPr="00DF0B75">
              <w:rPr>
                <w:rFonts w:ascii="Garamond" w:eastAsia="Times New Roman" w:hAnsi="Garamond" w:cs="Times New Roman"/>
                <w:sz w:val="16"/>
                <w:szCs w:val="20"/>
              </w:rPr>
              <w:t>Calgon</w:t>
            </w:r>
            <w:proofErr w:type="spellEnd"/>
            <w:r w:rsidRPr="00DF0B75">
              <w:rPr>
                <w:rFonts w:ascii="Garamond" w:eastAsia="Times New Roman" w:hAnsi="Garamond" w:cs="Times New Roman"/>
                <w:sz w:val="16"/>
                <w:szCs w:val="20"/>
              </w:rPr>
              <w:t xml:space="preserve"> Carbon Corporation (CCC) is the world’s largest producer of granular </w:t>
            </w:r>
            <w:r w:rsidR="003764DD" w:rsidRPr="003764DD">
              <w:rPr>
                <w:rFonts w:ascii="Garamond" w:eastAsia="Times New Roman" w:hAnsi="Garamond" w:cs="Times New Roman"/>
                <w:sz w:val="16"/>
                <w:szCs w:val="20"/>
              </w:rPr>
              <w:t>Alliance Fiber Optic Products Inc. is a leading and</w:t>
            </w:r>
            <w:r w:rsidR="003764DD">
              <w:rPr>
                <w:rFonts w:ascii="Garamond" w:eastAsia="Times New Roman" w:hAnsi="Garamond" w:cs="Times New Roman"/>
                <w:sz w:val="16"/>
                <w:szCs w:val="20"/>
              </w:rPr>
              <w:t xml:space="preserve"> </w:t>
            </w:r>
            <w:r w:rsidR="003764DD" w:rsidRPr="003764DD">
              <w:rPr>
                <w:rFonts w:ascii="Garamond" w:eastAsia="Times New Roman" w:hAnsi="Garamond" w:cs="Times New Roman"/>
                <w:sz w:val="16"/>
                <w:szCs w:val="20"/>
              </w:rPr>
              <w:t>innovative company within the fiber optics sub-industry.</w:t>
            </w:r>
            <w:r w:rsidR="003764DD">
              <w:rPr>
                <w:rFonts w:ascii="Garamond" w:eastAsia="Times New Roman" w:hAnsi="Garamond" w:cs="Times New Roman"/>
                <w:sz w:val="16"/>
                <w:szCs w:val="20"/>
              </w:rPr>
              <w:t xml:space="preserve"> </w:t>
            </w:r>
            <w:r w:rsidR="003764DD" w:rsidRPr="003764DD">
              <w:rPr>
                <w:rFonts w:ascii="Garamond" w:eastAsia="Times New Roman" w:hAnsi="Garamond" w:cs="Times New Roman"/>
                <w:sz w:val="16"/>
                <w:szCs w:val="20"/>
              </w:rPr>
              <w:t>The firm has recently enjoyed high revenue growths and</w:t>
            </w:r>
          </w:p>
          <w:p w:rsidR="003764DD" w:rsidRPr="003764DD" w:rsidRDefault="003764DD" w:rsidP="003764DD">
            <w:pPr>
              <w:rPr>
                <w:rFonts w:ascii="Garamond" w:eastAsia="Times New Roman" w:hAnsi="Garamond" w:cs="Times New Roman"/>
                <w:sz w:val="16"/>
                <w:szCs w:val="20"/>
              </w:rPr>
            </w:pPr>
            <w:proofErr w:type="gramStart"/>
            <w:r w:rsidRPr="003764DD">
              <w:rPr>
                <w:rFonts w:ascii="Garamond" w:eastAsia="Times New Roman" w:hAnsi="Garamond" w:cs="Times New Roman"/>
                <w:sz w:val="16"/>
                <w:szCs w:val="20"/>
              </w:rPr>
              <w:t>margins</w:t>
            </w:r>
            <w:proofErr w:type="gramEnd"/>
            <w:r w:rsidRPr="003764DD">
              <w:rPr>
                <w:rFonts w:ascii="Garamond" w:eastAsia="Times New Roman" w:hAnsi="Garamond" w:cs="Times New Roman"/>
                <w:sz w:val="16"/>
                <w:szCs w:val="20"/>
              </w:rPr>
              <w:t xml:space="preserve"> improveme</w:t>
            </w:r>
            <w:r>
              <w:rPr>
                <w:rFonts w:ascii="Garamond" w:eastAsia="Times New Roman" w:hAnsi="Garamond" w:cs="Times New Roman"/>
                <w:sz w:val="16"/>
                <w:szCs w:val="20"/>
              </w:rPr>
              <w:t xml:space="preserve">nt over the past few years. The </w:t>
            </w:r>
            <w:r w:rsidRPr="003764DD">
              <w:rPr>
                <w:rFonts w:ascii="Garamond" w:eastAsia="Times New Roman" w:hAnsi="Garamond" w:cs="Times New Roman"/>
                <w:sz w:val="16"/>
                <w:szCs w:val="20"/>
              </w:rPr>
              <w:t>market is however underestimating the growth prospect</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surrounding the industry because of past concerns. Also</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M&amp;A activities have increased over the past five years,</w:t>
            </w:r>
          </w:p>
          <w:p w:rsidR="003764DD" w:rsidRPr="003764DD" w:rsidRDefault="003764DD" w:rsidP="003764DD">
            <w:pPr>
              <w:rPr>
                <w:rFonts w:ascii="Garamond" w:eastAsia="Times New Roman" w:hAnsi="Garamond" w:cs="Times New Roman"/>
                <w:sz w:val="16"/>
                <w:szCs w:val="20"/>
              </w:rPr>
            </w:pPr>
            <w:proofErr w:type="gramStart"/>
            <w:r w:rsidRPr="003764DD">
              <w:rPr>
                <w:rFonts w:ascii="Garamond" w:eastAsia="Times New Roman" w:hAnsi="Garamond" w:cs="Times New Roman"/>
                <w:sz w:val="16"/>
                <w:szCs w:val="20"/>
              </w:rPr>
              <w:t>and</w:t>
            </w:r>
            <w:proofErr w:type="gramEnd"/>
            <w:r w:rsidRPr="003764DD">
              <w:rPr>
                <w:rFonts w:ascii="Garamond" w:eastAsia="Times New Roman" w:hAnsi="Garamond" w:cs="Times New Roman"/>
                <w:sz w:val="16"/>
                <w:szCs w:val="20"/>
              </w:rPr>
              <w:t xml:space="preserve"> AFOP is well p</w:t>
            </w:r>
            <w:r>
              <w:rPr>
                <w:rFonts w:ascii="Garamond" w:eastAsia="Times New Roman" w:hAnsi="Garamond" w:cs="Times New Roman"/>
                <w:sz w:val="16"/>
                <w:szCs w:val="20"/>
              </w:rPr>
              <w:t xml:space="preserve">ositioned to become a potential </w:t>
            </w:r>
            <w:r w:rsidRPr="003764DD">
              <w:rPr>
                <w:rFonts w:ascii="Garamond" w:eastAsia="Times New Roman" w:hAnsi="Garamond" w:cs="Times New Roman"/>
                <w:sz w:val="16"/>
                <w:szCs w:val="20"/>
              </w:rPr>
              <w:t>target company for future industry consolidation. Finally,</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the company is currently undervalued compared to its</w:t>
            </w:r>
          </w:p>
          <w:p w:rsidR="003764DD" w:rsidRPr="003764DD" w:rsidRDefault="003764DD" w:rsidP="003764DD">
            <w:pPr>
              <w:rPr>
                <w:rFonts w:ascii="Garamond" w:eastAsia="Times New Roman" w:hAnsi="Garamond" w:cs="Times New Roman"/>
                <w:sz w:val="16"/>
                <w:szCs w:val="20"/>
              </w:rPr>
            </w:pPr>
            <w:proofErr w:type="gramStart"/>
            <w:r w:rsidRPr="003764DD">
              <w:rPr>
                <w:rFonts w:ascii="Garamond" w:eastAsia="Times New Roman" w:hAnsi="Garamond" w:cs="Times New Roman"/>
                <w:sz w:val="16"/>
                <w:szCs w:val="20"/>
              </w:rPr>
              <w:t>peers</w:t>
            </w:r>
            <w:proofErr w:type="gramEnd"/>
            <w:r w:rsidRPr="003764DD">
              <w:rPr>
                <w:rFonts w:ascii="Garamond" w:eastAsia="Times New Roman" w:hAnsi="Garamond" w:cs="Times New Roman"/>
                <w:sz w:val="16"/>
                <w:szCs w:val="20"/>
              </w:rPr>
              <w:t xml:space="preserve"> and investors can t</w:t>
            </w:r>
            <w:r>
              <w:rPr>
                <w:rFonts w:ascii="Garamond" w:eastAsia="Times New Roman" w:hAnsi="Garamond" w:cs="Times New Roman"/>
                <w:sz w:val="16"/>
                <w:szCs w:val="20"/>
              </w:rPr>
              <w:t xml:space="preserve">ake advantage of current market </w:t>
            </w:r>
            <w:r w:rsidRPr="003764DD">
              <w:rPr>
                <w:rFonts w:ascii="Garamond" w:eastAsia="Times New Roman" w:hAnsi="Garamond" w:cs="Times New Roman"/>
                <w:sz w:val="16"/>
                <w:szCs w:val="20"/>
              </w:rPr>
              <w:t>price to enter into a long position. Therefore, a BUY is</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recommended on AFOP with a target price of $23,</w:t>
            </w:r>
          </w:p>
          <w:p w:rsidR="00175F41" w:rsidRPr="003764DD" w:rsidRDefault="003764DD" w:rsidP="003764DD">
            <w:pPr>
              <w:rPr>
                <w:rFonts w:ascii="Garamond" w:eastAsia="Times New Roman" w:hAnsi="Garamond" w:cs="Times New Roman"/>
                <w:sz w:val="16"/>
                <w:szCs w:val="20"/>
              </w:rPr>
            </w:pPr>
            <w:proofErr w:type="gramStart"/>
            <w:r w:rsidRPr="003764DD">
              <w:rPr>
                <w:rFonts w:ascii="Garamond" w:eastAsia="Times New Roman" w:hAnsi="Garamond" w:cs="Times New Roman"/>
                <w:sz w:val="16"/>
                <w:szCs w:val="20"/>
              </w:rPr>
              <w:t>representing</w:t>
            </w:r>
            <w:proofErr w:type="gramEnd"/>
            <w:r w:rsidRPr="003764DD">
              <w:rPr>
                <w:rFonts w:ascii="Garamond" w:eastAsia="Times New Roman" w:hAnsi="Garamond" w:cs="Times New Roman"/>
                <w:sz w:val="16"/>
                <w:szCs w:val="20"/>
              </w:rPr>
              <w:t xml:space="preserve"> an upside potential of 33% based on</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 xml:space="preserve">current market price. </w:t>
            </w:r>
          </w:p>
        </w:tc>
        <w:tc>
          <w:tcPr>
            <w:tcW w:w="1087" w:type="dxa"/>
          </w:tcPr>
          <w:p w:rsidR="00175F41" w:rsidRPr="00C820FA" w:rsidRDefault="00E9058C" w:rsidP="00DF0B75">
            <w:pPr>
              <w:jc w:val="center"/>
              <w:rPr>
                <w:rFonts w:ascii="Garamond" w:hAnsi="Garamond"/>
                <w:sz w:val="20"/>
                <w:szCs w:val="20"/>
              </w:rPr>
            </w:pPr>
            <w:r>
              <w:rPr>
                <w:rFonts w:ascii="Garamond" w:hAnsi="Garamond"/>
                <w:sz w:val="20"/>
                <w:szCs w:val="20"/>
              </w:rPr>
              <w:t>$</w:t>
            </w:r>
            <w:r w:rsidR="003764DD">
              <w:rPr>
                <w:rFonts w:ascii="Garamond" w:hAnsi="Garamond"/>
                <w:sz w:val="20"/>
                <w:szCs w:val="20"/>
              </w:rPr>
              <w:t>17.40</w:t>
            </w:r>
          </w:p>
        </w:tc>
        <w:tc>
          <w:tcPr>
            <w:tcW w:w="924" w:type="dxa"/>
          </w:tcPr>
          <w:p w:rsidR="00175F41" w:rsidRPr="00C820FA" w:rsidRDefault="003764DD" w:rsidP="008B76BC">
            <w:pPr>
              <w:jc w:val="center"/>
              <w:rPr>
                <w:rFonts w:ascii="Garamond" w:hAnsi="Garamond"/>
                <w:sz w:val="20"/>
                <w:szCs w:val="20"/>
              </w:rPr>
            </w:pPr>
            <w:r>
              <w:rPr>
                <w:rFonts w:ascii="Garamond" w:hAnsi="Garamond"/>
                <w:sz w:val="20"/>
                <w:szCs w:val="20"/>
              </w:rPr>
              <w:t>$23.00</w:t>
            </w:r>
          </w:p>
        </w:tc>
      </w:tr>
      <w:tr w:rsidR="001021DB" w:rsidTr="005A400D">
        <w:trPr>
          <w:trHeight w:val="151"/>
        </w:trPr>
        <w:tc>
          <w:tcPr>
            <w:tcW w:w="1286" w:type="dxa"/>
          </w:tcPr>
          <w:p w:rsidR="003764DD" w:rsidRPr="003764DD" w:rsidRDefault="003764DD" w:rsidP="003764DD">
            <w:pPr>
              <w:rPr>
                <w:rFonts w:ascii="Times" w:eastAsia="Times New Roman" w:hAnsi="Times" w:cs="Times New Roman"/>
                <w:sz w:val="20"/>
                <w:szCs w:val="20"/>
              </w:rPr>
            </w:pPr>
            <w:r w:rsidRPr="003764DD">
              <w:rPr>
                <w:rFonts w:ascii="Times" w:eastAsia="Times New Roman" w:hAnsi="Times" w:cs="Times New Roman"/>
                <w:sz w:val="20"/>
                <w:szCs w:val="20"/>
              </w:rPr>
              <w:t>Breeze-Eastern Corporation</w:t>
            </w:r>
          </w:p>
          <w:p w:rsidR="00E9058C" w:rsidRPr="00175F41" w:rsidRDefault="003764DD" w:rsidP="008B76BC">
            <w:pPr>
              <w:rPr>
                <w:sz w:val="18"/>
                <w:szCs w:val="18"/>
              </w:rPr>
            </w:pPr>
            <w:r>
              <w:rPr>
                <w:sz w:val="18"/>
                <w:szCs w:val="18"/>
              </w:rPr>
              <w:t>$BZC</w:t>
            </w:r>
          </w:p>
        </w:tc>
        <w:tc>
          <w:tcPr>
            <w:tcW w:w="815" w:type="dxa"/>
          </w:tcPr>
          <w:p w:rsidR="00175F41" w:rsidRPr="00C820FA" w:rsidRDefault="00162AD6" w:rsidP="008B76BC">
            <w:pPr>
              <w:jc w:val="center"/>
              <w:rPr>
                <w:sz w:val="24"/>
                <w:szCs w:val="24"/>
              </w:rPr>
            </w:pPr>
            <w:r>
              <w:rPr>
                <w:sz w:val="24"/>
                <w:szCs w:val="24"/>
              </w:rPr>
              <w:t>Buy</w:t>
            </w:r>
          </w:p>
        </w:tc>
        <w:tc>
          <w:tcPr>
            <w:tcW w:w="5525" w:type="dxa"/>
          </w:tcPr>
          <w:p w:rsidR="003764DD" w:rsidRPr="003764DD" w:rsidRDefault="003764DD" w:rsidP="003764DD">
            <w:pPr>
              <w:rPr>
                <w:rFonts w:ascii="Garamond" w:eastAsia="Times New Roman" w:hAnsi="Garamond" w:cs="Times New Roman"/>
                <w:sz w:val="16"/>
                <w:szCs w:val="20"/>
              </w:rPr>
            </w:pPr>
            <w:r w:rsidRPr="003764DD">
              <w:rPr>
                <w:rFonts w:ascii="Garamond" w:eastAsia="Times New Roman" w:hAnsi="Garamond" w:cs="Times New Roman"/>
                <w:sz w:val="16"/>
                <w:szCs w:val="20"/>
              </w:rPr>
              <w:t>Breeze-Eastern Corporation is a company that has impressively large profit margins, and high cash flows, which it has used to completely pay of its debt. The company is worth $12.25, when its current price is only $10.13. It is an impressively stable company, and is a great investment opportunity for investors who do not mind the low liquidity. Breeze-Eastern is a BUY.</w:t>
            </w:r>
          </w:p>
          <w:p w:rsidR="00175F41" w:rsidRPr="000F32DB" w:rsidRDefault="00175F41" w:rsidP="008B76BC">
            <w:pPr>
              <w:jc w:val="both"/>
              <w:rPr>
                <w:sz w:val="16"/>
                <w:szCs w:val="16"/>
              </w:rPr>
            </w:pPr>
          </w:p>
        </w:tc>
        <w:tc>
          <w:tcPr>
            <w:tcW w:w="1087" w:type="dxa"/>
          </w:tcPr>
          <w:p w:rsidR="00175F41" w:rsidRPr="00C820FA" w:rsidRDefault="003764DD" w:rsidP="008B76BC">
            <w:pPr>
              <w:jc w:val="center"/>
              <w:rPr>
                <w:rFonts w:ascii="Garamond" w:hAnsi="Garamond"/>
                <w:sz w:val="20"/>
                <w:szCs w:val="20"/>
              </w:rPr>
            </w:pPr>
            <w:r>
              <w:rPr>
                <w:rFonts w:ascii="Garamond" w:hAnsi="Garamond"/>
                <w:sz w:val="20"/>
                <w:szCs w:val="20"/>
              </w:rPr>
              <w:t>$10.13</w:t>
            </w:r>
          </w:p>
        </w:tc>
        <w:tc>
          <w:tcPr>
            <w:tcW w:w="924" w:type="dxa"/>
          </w:tcPr>
          <w:p w:rsidR="00175F41" w:rsidRPr="00C820FA" w:rsidRDefault="00860C2F" w:rsidP="008B76BC">
            <w:pPr>
              <w:jc w:val="center"/>
              <w:rPr>
                <w:rFonts w:ascii="Garamond" w:hAnsi="Garamond"/>
                <w:sz w:val="20"/>
                <w:szCs w:val="20"/>
              </w:rPr>
            </w:pPr>
            <w:r>
              <w:rPr>
                <w:rFonts w:ascii="Garamond" w:hAnsi="Garamond"/>
                <w:sz w:val="20"/>
                <w:szCs w:val="20"/>
              </w:rPr>
              <w:t>$1</w:t>
            </w:r>
            <w:r w:rsidR="003764DD">
              <w:rPr>
                <w:rFonts w:ascii="Garamond" w:hAnsi="Garamond"/>
                <w:sz w:val="20"/>
                <w:szCs w:val="20"/>
              </w:rPr>
              <w:t>2.72</w:t>
            </w:r>
          </w:p>
        </w:tc>
      </w:tr>
      <w:tr w:rsidR="00E208B6" w:rsidTr="005A400D">
        <w:trPr>
          <w:trHeight w:val="151"/>
        </w:trPr>
        <w:tc>
          <w:tcPr>
            <w:tcW w:w="1286" w:type="dxa"/>
          </w:tcPr>
          <w:p w:rsidR="003764DD" w:rsidRPr="003764DD" w:rsidRDefault="003764DD" w:rsidP="003764DD">
            <w:pPr>
              <w:rPr>
                <w:rFonts w:ascii="Times" w:eastAsia="Times New Roman" w:hAnsi="Times" w:cs="Times New Roman"/>
                <w:sz w:val="20"/>
                <w:szCs w:val="20"/>
              </w:rPr>
            </w:pPr>
            <w:proofErr w:type="spellStart"/>
            <w:r w:rsidRPr="003764DD">
              <w:rPr>
                <w:rFonts w:ascii="Times" w:eastAsia="Times New Roman" w:hAnsi="Times" w:cs="Times New Roman"/>
                <w:sz w:val="20"/>
                <w:szCs w:val="20"/>
              </w:rPr>
              <w:t>Inventure</w:t>
            </w:r>
            <w:proofErr w:type="spellEnd"/>
            <w:r w:rsidRPr="003764DD">
              <w:rPr>
                <w:rFonts w:ascii="Times" w:eastAsia="Times New Roman" w:hAnsi="Times" w:cs="Times New Roman"/>
                <w:sz w:val="20"/>
                <w:szCs w:val="20"/>
              </w:rPr>
              <w:t xml:space="preserve"> Foods. Inc.</w:t>
            </w:r>
          </w:p>
          <w:p w:rsidR="00860C2F" w:rsidRPr="00175F41" w:rsidRDefault="003764DD" w:rsidP="008B76BC">
            <w:pPr>
              <w:rPr>
                <w:sz w:val="18"/>
                <w:szCs w:val="18"/>
              </w:rPr>
            </w:pPr>
            <w:r>
              <w:rPr>
                <w:sz w:val="18"/>
                <w:szCs w:val="18"/>
              </w:rPr>
              <w:t>$SNAK</w:t>
            </w:r>
          </w:p>
        </w:tc>
        <w:tc>
          <w:tcPr>
            <w:tcW w:w="815" w:type="dxa"/>
          </w:tcPr>
          <w:p w:rsidR="00E208B6" w:rsidRPr="00C820FA" w:rsidRDefault="00FA76B2" w:rsidP="008B76BC">
            <w:pPr>
              <w:jc w:val="center"/>
              <w:rPr>
                <w:sz w:val="24"/>
                <w:szCs w:val="24"/>
              </w:rPr>
            </w:pPr>
            <w:r>
              <w:rPr>
                <w:sz w:val="24"/>
                <w:szCs w:val="24"/>
              </w:rPr>
              <w:t>Buy</w:t>
            </w:r>
          </w:p>
        </w:tc>
        <w:tc>
          <w:tcPr>
            <w:tcW w:w="5525" w:type="dxa"/>
          </w:tcPr>
          <w:p w:rsidR="003764DD" w:rsidRPr="003764DD" w:rsidRDefault="003764DD" w:rsidP="003764DD">
            <w:pPr>
              <w:rPr>
                <w:rFonts w:ascii="Garamond" w:eastAsia="Times New Roman" w:hAnsi="Garamond" w:cs="Times New Roman"/>
                <w:sz w:val="16"/>
                <w:szCs w:val="16"/>
              </w:rPr>
            </w:pPr>
            <w:proofErr w:type="spellStart"/>
            <w:r w:rsidRPr="003764DD">
              <w:rPr>
                <w:rFonts w:ascii="Garamond" w:eastAsia="Times New Roman" w:hAnsi="Garamond" w:cs="Times New Roman"/>
                <w:sz w:val="16"/>
                <w:szCs w:val="16"/>
              </w:rPr>
              <w:t>Inventure</w:t>
            </w:r>
            <w:proofErr w:type="spellEnd"/>
            <w:r w:rsidRPr="003764DD">
              <w:rPr>
                <w:rFonts w:ascii="Garamond" w:eastAsia="Times New Roman" w:hAnsi="Garamond" w:cs="Times New Roman"/>
                <w:sz w:val="16"/>
                <w:szCs w:val="16"/>
              </w:rPr>
              <w:t xml:space="preserve"> Foods is constantly setting itself apart from the competition thanks to its product innovation and the recent acquisitions that will allow the company to expand its margins. The healthy/natural products are now being embraced by a more important part of the population in the U.S., which will potentially insure a revenue growth in the coming years. What appeared to be a niche market few years ago is becoming more popular and </w:t>
            </w:r>
            <w:proofErr w:type="spellStart"/>
            <w:r w:rsidRPr="003764DD">
              <w:rPr>
                <w:rFonts w:ascii="Garamond" w:eastAsia="Times New Roman" w:hAnsi="Garamond" w:cs="Times New Roman"/>
                <w:sz w:val="16"/>
                <w:szCs w:val="16"/>
              </w:rPr>
              <w:t>Inventure</w:t>
            </w:r>
            <w:proofErr w:type="spellEnd"/>
            <w:r w:rsidRPr="003764DD">
              <w:rPr>
                <w:rFonts w:ascii="Garamond" w:eastAsia="Times New Roman" w:hAnsi="Garamond" w:cs="Times New Roman"/>
                <w:sz w:val="16"/>
                <w:szCs w:val="16"/>
              </w:rPr>
              <w:t xml:space="preserve"> Foods will take advantage of it thanks to its several private labels that offer a competitive advantage.</w:t>
            </w:r>
          </w:p>
          <w:p w:rsidR="00E208B6" w:rsidRPr="00E9058C" w:rsidRDefault="00E208B6" w:rsidP="00860C2F">
            <w:pPr>
              <w:rPr>
                <w:rFonts w:ascii="Garamond" w:eastAsia="Times New Roman" w:hAnsi="Garamond" w:cs="Times New Roman"/>
                <w:sz w:val="16"/>
                <w:szCs w:val="16"/>
              </w:rPr>
            </w:pPr>
          </w:p>
        </w:tc>
        <w:tc>
          <w:tcPr>
            <w:tcW w:w="1087" w:type="dxa"/>
          </w:tcPr>
          <w:p w:rsidR="00E208B6" w:rsidRPr="00C820FA" w:rsidRDefault="003764DD" w:rsidP="008B76BC">
            <w:pPr>
              <w:jc w:val="center"/>
              <w:rPr>
                <w:rFonts w:ascii="Garamond" w:hAnsi="Garamond"/>
                <w:sz w:val="20"/>
                <w:szCs w:val="20"/>
              </w:rPr>
            </w:pPr>
            <w:r>
              <w:rPr>
                <w:rFonts w:ascii="Garamond" w:hAnsi="Garamond"/>
                <w:sz w:val="20"/>
                <w:szCs w:val="20"/>
              </w:rPr>
              <w:t>$11.39</w:t>
            </w:r>
          </w:p>
        </w:tc>
        <w:tc>
          <w:tcPr>
            <w:tcW w:w="924" w:type="dxa"/>
          </w:tcPr>
          <w:p w:rsidR="00E208B6" w:rsidRPr="00C820FA" w:rsidRDefault="003764DD" w:rsidP="008B76BC">
            <w:pPr>
              <w:jc w:val="center"/>
              <w:rPr>
                <w:rFonts w:ascii="Garamond" w:hAnsi="Garamond"/>
                <w:sz w:val="20"/>
                <w:szCs w:val="20"/>
              </w:rPr>
            </w:pPr>
            <w:r>
              <w:rPr>
                <w:rFonts w:ascii="Garamond" w:hAnsi="Garamond"/>
                <w:sz w:val="20"/>
                <w:szCs w:val="20"/>
              </w:rPr>
              <w:t>$14.13</w:t>
            </w:r>
          </w:p>
        </w:tc>
      </w:tr>
      <w:tr w:rsidR="00E208B6" w:rsidTr="005A400D">
        <w:trPr>
          <w:trHeight w:val="151"/>
        </w:trPr>
        <w:tc>
          <w:tcPr>
            <w:tcW w:w="1286" w:type="dxa"/>
          </w:tcPr>
          <w:p w:rsidR="003764DD" w:rsidRPr="003764DD" w:rsidRDefault="003764DD" w:rsidP="003764DD">
            <w:pPr>
              <w:rPr>
                <w:rFonts w:eastAsia="Times New Roman" w:cs="Times New Roman"/>
                <w:sz w:val="18"/>
                <w:szCs w:val="20"/>
              </w:rPr>
            </w:pPr>
            <w:r w:rsidRPr="003764DD">
              <w:rPr>
                <w:rFonts w:eastAsia="Times New Roman" w:cs="Times New Roman"/>
                <w:sz w:val="18"/>
                <w:szCs w:val="20"/>
              </w:rPr>
              <w:t>LA QUINTA HOLDINGS INC.</w:t>
            </w:r>
          </w:p>
          <w:p w:rsidR="00E9058C" w:rsidRPr="00175F41" w:rsidRDefault="003764DD" w:rsidP="008B76BC">
            <w:pPr>
              <w:rPr>
                <w:sz w:val="18"/>
                <w:szCs w:val="18"/>
              </w:rPr>
            </w:pPr>
            <w:r>
              <w:rPr>
                <w:sz w:val="18"/>
                <w:szCs w:val="18"/>
              </w:rPr>
              <w:t>$LQ</w:t>
            </w: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3764DD" w:rsidRPr="003764DD" w:rsidRDefault="003764DD" w:rsidP="003764DD">
            <w:pPr>
              <w:rPr>
                <w:rFonts w:ascii="Garamond" w:eastAsia="Times New Roman" w:hAnsi="Garamond" w:cs="Times New Roman"/>
                <w:sz w:val="16"/>
                <w:szCs w:val="20"/>
              </w:rPr>
            </w:pPr>
            <w:r w:rsidRPr="003764DD">
              <w:rPr>
                <w:rFonts w:ascii="Garamond" w:eastAsia="Times New Roman" w:hAnsi="Garamond" w:cs="Times New Roman"/>
                <w:sz w:val="16"/>
                <w:szCs w:val="20"/>
              </w:rPr>
              <w:t>La Quinta Holdings is the leading owner, operator and franchisor of select-service hotels with a national footprint. Recently going IPO last April, the company has witnessed growth in revenue and EBITDA along with growing free cash flow while paying off net debt at a steady pace. As the company continues to grow its pipeline to other places, it is expected that revenue and EBITDA will keep growing at a steady pace. With increasing free cash flow, it is expected that management will compensate its investors by possibly starting dividend payments.</w:t>
            </w:r>
          </w:p>
          <w:p w:rsidR="00E208B6" w:rsidRPr="000F32DB" w:rsidRDefault="00E208B6" w:rsidP="008B76BC">
            <w:pPr>
              <w:jc w:val="both"/>
              <w:rPr>
                <w:rFonts w:ascii="Garamond" w:eastAsia="Arial" w:hAnsi="Garamond" w:cs="Arial"/>
                <w:color w:val="000000"/>
                <w:sz w:val="16"/>
                <w:szCs w:val="16"/>
              </w:rPr>
            </w:pPr>
          </w:p>
        </w:tc>
        <w:tc>
          <w:tcPr>
            <w:tcW w:w="1087" w:type="dxa"/>
          </w:tcPr>
          <w:p w:rsidR="00E208B6" w:rsidRPr="00C820FA" w:rsidRDefault="003764DD" w:rsidP="008B76BC">
            <w:pPr>
              <w:jc w:val="center"/>
              <w:rPr>
                <w:rFonts w:ascii="Garamond" w:hAnsi="Garamond"/>
                <w:sz w:val="20"/>
                <w:szCs w:val="20"/>
              </w:rPr>
            </w:pPr>
            <w:r>
              <w:rPr>
                <w:rFonts w:ascii="Garamond" w:hAnsi="Garamond"/>
                <w:sz w:val="20"/>
                <w:szCs w:val="20"/>
              </w:rPr>
              <w:t>$23.15</w:t>
            </w:r>
          </w:p>
        </w:tc>
        <w:tc>
          <w:tcPr>
            <w:tcW w:w="924" w:type="dxa"/>
          </w:tcPr>
          <w:p w:rsidR="00E208B6" w:rsidRPr="00C820FA" w:rsidRDefault="003764DD" w:rsidP="008B76BC">
            <w:pPr>
              <w:jc w:val="center"/>
              <w:rPr>
                <w:rFonts w:ascii="Garamond" w:hAnsi="Garamond"/>
                <w:sz w:val="20"/>
                <w:szCs w:val="20"/>
              </w:rPr>
            </w:pPr>
            <w:r>
              <w:rPr>
                <w:rFonts w:ascii="Garamond" w:hAnsi="Garamond"/>
                <w:sz w:val="20"/>
                <w:szCs w:val="20"/>
              </w:rPr>
              <w:t>$26.00</w:t>
            </w:r>
          </w:p>
        </w:tc>
      </w:tr>
      <w:tr w:rsidR="00E208B6" w:rsidTr="005A400D">
        <w:trPr>
          <w:trHeight w:val="151"/>
        </w:trPr>
        <w:tc>
          <w:tcPr>
            <w:tcW w:w="1286" w:type="dxa"/>
          </w:tcPr>
          <w:p w:rsidR="00E9058C" w:rsidRDefault="003764DD" w:rsidP="008B76BC">
            <w:pPr>
              <w:rPr>
                <w:rFonts w:ascii="Times" w:eastAsia="Times New Roman" w:hAnsi="Times" w:cs="Times New Roman"/>
                <w:sz w:val="20"/>
                <w:szCs w:val="20"/>
              </w:rPr>
            </w:pPr>
            <w:r>
              <w:rPr>
                <w:rFonts w:ascii="Times" w:eastAsia="Times New Roman" w:hAnsi="Times" w:cs="Times New Roman"/>
                <w:sz w:val="20"/>
                <w:szCs w:val="20"/>
              </w:rPr>
              <w:t xml:space="preserve">Manchester United </w:t>
            </w:r>
          </w:p>
          <w:p w:rsidR="003764DD" w:rsidRPr="00175F41" w:rsidRDefault="003764DD" w:rsidP="008B76BC">
            <w:pPr>
              <w:rPr>
                <w:sz w:val="18"/>
                <w:szCs w:val="18"/>
              </w:rPr>
            </w:pPr>
            <w:r>
              <w:rPr>
                <w:rFonts w:ascii="Times" w:eastAsia="Times New Roman" w:hAnsi="Times" w:cs="Times New Roman"/>
                <w:sz w:val="20"/>
                <w:szCs w:val="20"/>
              </w:rPr>
              <w:t>$MANU</w:t>
            </w:r>
          </w:p>
        </w:tc>
        <w:tc>
          <w:tcPr>
            <w:tcW w:w="815" w:type="dxa"/>
          </w:tcPr>
          <w:p w:rsidR="00E208B6" w:rsidRPr="00C820FA" w:rsidRDefault="00FA76B2" w:rsidP="008B76BC">
            <w:pPr>
              <w:jc w:val="center"/>
              <w:rPr>
                <w:rFonts w:ascii="Garamond" w:hAnsi="Garamond"/>
                <w:sz w:val="24"/>
                <w:szCs w:val="24"/>
              </w:rPr>
            </w:pPr>
            <w:r>
              <w:rPr>
                <w:rFonts w:ascii="Garamond" w:hAnsi="Garamond"/>
                <w:sz w:val="24"/>
                <w:szCs w:val="24"/>
              </w:rPr>
              <w:t>Buy</w:t>
            </w:r>
          </w:p>
        </w:tc>
        <w:tc>
          <w:tcPr>
            <w:tcW w:w="5525" w:type="dxa"/>
          </w:tcPr>
          <w:p w:rsidR="003764DD" w:rsidRPr="003764DD" w:rsidRDefault="003764DD" w:rsidP="003764DD">
            <w:pPr>
              <w:rPr>
                <w:rFonts w:ascii="Garamond" w:eastAsia="Times New Roman" w:hAnsi="Garamond" w:cs="Times New Roman"/>
                <w:sz w:val="16"/>
                <w:szCs w:val="20"/>
              </w:rPr>
            </w:pPr>
            <w:r w:rsidRPr="003764DD">
              <w:rPr>
                <w:rFonts w:ascii="Garamond" w:eastAsia="Times New Roman" w:hAnsi="Garamond" w:cs="Times New Roman"/>
                <w:sz w:val="16"/>
                <w:szCs w:val="20"/>
              </w:rPr>
              <w:t>Manchester United is one of the most recognized and valuable professional soccer teams in the world. After their IPO, the club’s share price has been impacted by the disappointing season after Sir Alex Ferguson departure. This year Manchester United is rebounding from their worst season in 2013 and they are trying to maintain a spot in the top 4 in order to qualify to the UEFA Champions League. Investors are not confident on MANU because they believe that the club will not play the European League next year. Thus, they believe that the company will suffer again and its new sponsorship deals, revenue stream and reputation will decrease. The stock price seems underpriced as investors are neglecting the positive impact that could come from Adidas deal, broadcasting rights deal, and merchandising deals. The current price is a buying opportunity and benefits will appear once the club has returned to a top four finish in the Premier League by the end of this season. This report will explain the key factors that will lead to a 14% upside and a target price of $17.9</w:t>
            </w:r>
          </w:p>
          <w:p w:rsidR="00E208B6" w:rsidRPr="00860C2F" w:rsidRDefault="00E208B6" w:rsidP="008B76BC">
            <w:pPr>
              <w:jc w:val="both"/>
              <w:rPr>
                <w:rFonts w:ascii="Garamond" w:eastAsia="Arial" w:hAnsi="Garamond" w:cs="Arial"/>
                <w:color w:val="000000"/>
                <w:sz w:val="16"/>
                <w:szCs w:val="16"/>
              </w:rPr>
            </w:pPr>
          </w:p>
        </w:tc>
        <w:tc>
          <w:tcPr>
            <w:tcW w:w="1087" w:type="dxa"/>
          </w:tcPr>
          <w:p w:rsidR="00E208B6" w:rsidRPr="00C820FA" w:rsidRDefault="003764DD" w:rsidP="008B76BC">
            <w:pPr>
              <w:jc w:val="center"/>
              <w:rPr>
                <w:rFonts w:ascii="Garamond" w:hAnsi="Garamond"/>
                <w:sz w:val="20"/>
                <w:szCs w:val="20"/>
              </w:rPr>
            </w:pPr>
            <w:r>
              <w:rPr>
                <w:rFonts w:ascii="Garamond" w:hAnsi="Garamond"/>
                <w:sz w:val="20"/>
                <w:szCs w:val="20"/>
              </w:rPr>
              <w:t>$15.66</w:t>
            </w:r>
          </w:p>
        </w:tc>
        <w:tc>
          <w:tcPr>
            <w:tcW w:w="924" w:type="dxa"/>
          </w:tcPr>
          <w:p w:rsidR="00E208B6" w:rsidRPr="00C820FA" w:rsidRDefault="003764DD" w:rsidP="008B76BC">
            <w:pPr>
              <w:jc w:val="center"/>
              <w:rPr>
                <w:rFonts w:ascii="Garamond" w:hAnsi="Garamond"/>
                <w:sz w:val="20"/>
                <w:szCs w:val="20"/>
              </w:rPr>
            </w:pPr>
            <w:r>
              <w:rPr>
                <w:rFonts w:ascii="Garamond" w:hAnsi="Garamond"/>
                <w:sz w:val="20"/>
                <w:szCs w:val="20"/>
              </w:rPr>
              <w:t>$17.9</w:t>
            </w:r>
          </w:p>
        </w:tc>
      </w:tr>
      <w:tr w:rsidR="00E208B6" w:rsidTr="005A400D">
        <w:trPr>
          <w:trHeight w:val="151"/>
        </w:trPr>
        <w:tc>
          <w:tcPr>
            <w:tcW w:w="1286" w:type="dxa"/>
          </w:tcPr>
          <w:p w:rsidR="00860C2F" w:rsidRDefault="003764DD" w:rsidP="008B76BC">
            <w:pPr>
              <w:rPr>
                <w:sz w:val="18"/>
                <w:szCs w:val="18"/>
              </w:rPr>
            </w:pPr>
            <w:proofErr w:type="spellStart"/>
            <w:r w:rsidRPr="003764DD">
              <w:rPr>
                <w:sz w:val="18"/>
                <w:szCs w:val="18"/>
              </w:rPr>
              <w:t>NutriSystem</w:t>
            </w:r>
            <w:proofErr w:type="spellEnd"/>
            <w:r w:rsidRPr="003764DD">
              <w:rPr>
                <w:sz w:val="18"/>
                <w:szCs w:val="18"/>
              </w:rPr>
              <w:t>, Inc.</w:t>
            </w:r>
          </w:p>
          <w:p w:rsidR="003764DD" w:rsidRPr="00175F41" w:rsidRDefault="003764DD" w:rsidP="008B76BC">
            <w:pPr>
              <w:rPr>
                <w:sz w:val="18"/>
                <w:szCs w:val="18"/>
              </w:rPr>
            </w:pPr>
            <w:r>
              <w:rPr>
                <w:sz w:val="18"/>
                <w:szCs w:val="18"/>
              </w:rPr>
              <w:t>$NTRI</w:t>
            </w:r>
          </w:p>
        </w:tc>
        <w:tc>
          <w:tcPr>
            <w:tcW w:w="815" w:type="dxa"/>
          </w:tcPr>
          <w:p w:rsidR="00E208B6" w:rsidRPr="00C820FA" w:rsidRDefault="00E9058C"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3764DD" w:rsidRPr="003764DD" w:rsidRDefault="003764DD" w:rsidP="003764DD">
            <w:pPr>
              <w:rPr>
                <w:rFonts w:ascii="Garamond" w:eastAsia="Times New Roman" w:hAnsi="Garamond" w:cs="Times New Roman"/>
                <w:sz w:val="16"/>
                <w:szCs w:val="20"/>
              </w:rPr>
            </w:pPr>
            <w:proofErr w:type="spellStart"/>
            <w:r w:rsidRPr="003764DD">
              <w:rPr>
                <w:rFonts w:ascii="Garamond" w:eastAsia="Times New Roman" w:hAnsi="Garamond" w:cs="Times New Roman"/>
                <w:sz w:val="16"/>
                <w:szCs w:val="20"/>
              </w:rPr>
              <w:t>Nutrisystem</w:t>
            </w:r>
            <w:proofErr w:type="spellEnd"/>
            <w:r w:rsidRPr="003764DD">
              <w:rPr>
                <w:rFonts w:ascii="Garamond" w:eastAsia="Times New Roman" w:hAnsi="Garamond" w:cs="Times New Roman"/>
                <w:sz w:val="16"/>
                <w:szCs w:val="20"/>
              </w:rPr>
              <w:t xml:space="preserve"> has developed into a leader in the weight</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loss industry, and has been helping people lose weight</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and become healthier for over 35 years. With their</w:t>
            </w:r>
          </w:p>
          <w:p w:rsidR="003764DD" w:rsidRPr="003764DD" w:rsidRDefault="003764DD" w:rsidP="003764DD">
            <w:pPr>
              <w:rPr>
                <w:rFonts w:ascii="Garamond" w:eastAsia="Times New Roman" w:hAnsi="Garamond" w:cs="Times New Roman"/>
                <w:sz w:val="16"/>
                <w:szCs w:val="20"/>
              </w:rPr>
            </w:pPr>
            <w:r w:rsidRPr="003764DD">
              <w:rPr>
                <w:rFonts w:ascii="Garamond" w:eastAsia="Times New Roman" w:hAnsi="Garamond" w:cs="Times New Roman"/>
                <w:sz w:val="16"/>
                <w:szCs w:val="20"/>
              </w:rPr>
              <w:t>product line that has proven to be successful, combined</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with their recent product expansion and the growing</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 xml:space="preserve">demand in the weight-loss field, </w:t>
            </w:r>
            <w:proofErr w:type="spellStart"/>
            <w:r w:rsidRPr="003764DD">
              <w:rPr>
                <w:rFonts w:ascii="Garamond" w:eastAsia="Times New Roman" w:hAnsi="Garamond" w:cs="Times New Roman"/>
                <w:sz w:val="16"/>
                <w:szCs w:val="20"/>
              </w:rPr>
              <w:t>Nutrisystem</w:t>
            </w:r>
            <w:proofErr w:type="spellEnd"/>
            <w:r w:rsidRPr="003764DD">
              <w:rPr>
                <w:rFonts w:ascii="Garamond" w:eastAsia="Times New Roman" w:hAnsi="Garamond" w:cs="Times New Roman"/>
                <w:sz w:val="16"/>
                <w:szCs w:val="20"/>
              </w:rPr>
              <w:t xml:space="preserve"> will</w:t>
            </w:r>
          </w:p>
          <w:p w:rsidR="00E208B6" w:rsidRPr="003764DD" w:rsidRDefault="003764DD" w:rsidP="003764DD">
            <w:pPr>
              <w:rPr>
                <w:rFonts w:ascii="Garamond" w:eastAsia="Times New Roman" w:hAnsi="Garamond" w:cs="Times New Roman"/>
                <w:sz w:val="16"/>
                <w:szCs w:val="20"/>
              </w:rPr>
            </w:pPr>
            <w:proofErr w:type="gramStart"/>
            <w:r w:rsidRPr="003764DD">
              <w:rPr>
                <w:rFonts w:ascii="Garamond" w:eastAsia="Times New Roman" w:hAnsi="Garamond" w:cs="Times New Roman"/>
                <w:sz w:val="16"/>
                <w:szCs w:val="20"/>
              </w:rPr>
              <w:t>continue</w:t>
            </w:r>
            <w:proofErr w:type="gramEnd"/>
            <w:r w:rsidRPr="003764DD">
              <w:rPr>
                <w:rFonts w:ascii="Garamond" w:eastAsia="Times New Roman" w:hAnsi="Garamond" w:cs="Times New Roman"/>
                <w:sz w:val="16"/>
                <w:szCs w:val="20"/>
              </w:rPr>
              <w:t xml:space="preserve"> to grow their EBITDA margins, and continue</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to generate value for the company and increase the price</w:t>
            </w:r>
            <w:r>
              <w:rPr>
                <w:rFonts w:ascii="Garamond" w:eastAsia="Times New Roman" w:hAnsi="Garamond" w:cs="Times New Roman"/>
                <w:sz w:val="16"/>
                <w:szCs w:val="20"/>
              </w:rPr>
              <w:t xml:space="preserve"> </w:t>
            </w:r>
            <w:r w:rsidRPr="003764DD">
              <w:rPr>
                <w:rFonts w:ascii="Garamond" w:eastAsia="Times New Roman" w:hAnsi="Garamond" w:cs="Times New Roman"/>
                <w:sz w:val="16"/>
                <w:szCs w:val="20"/>
              </w:rPr>
              <w:t xml:space="preserve">of their stock. </w:t>
            </w:r>
          </w:p>
        </w:tc>
        <w:tc>
          <w:tcPr>
            <w:tcW w:w="1087" w:type="dxa"/>
          </w:tcPr>
          <w:p w:rsidR="00E208B6" w:rsidRPr="00C820FA" w:rsidRDefault="003764DD" w:rsidP="008B76BC">
            <w:pPr>
              <w:jc w:val="center"/>
              <w:rPr>
                <w:rFonts w:ascii="Garamond" w:hAnsi="Garamond"/>
                <w:sz w:val="20"/>
                <w:szCs w:val="20"/>
              </w:rPr>
            </w:pPr>
            <w:r>
              <w:rPr>
                <w:rFonts w:ascii="Garamond" w:hAnsi="Garamond"/>
                <w:sz w:val="20"/>
                <w:szCs w:val="20"/>
              </w:rPr>
              <w:t>$19.49</w:t>
            </w:r>
          </w:p>
        </w:tc>
        <w:tc>
          <w:tcPr>
            <w:tcW w:w="924" w:type="dxa"/>
          </w:tcPr>
          <w:p w:rsidR="00E208B6" w:rsidRPr="00C820FA" w:rsidRDefault="003764DD" w:rsidP="008B76BC">
            <w:pPr>
              <w:jc w:val="center"/>
              <w:rPr>
                <w:rFonts w:ascii="Garamond" w:hAnsi="Garamond"/>
                <w:sz w:val="20"/>
                <w:szCs w:val="20"/>
              </w:rPr>
            </w:pPr>
            <w:r>
              <w:rPr>
                <w:rFonts w:ascii="Garamond" w:hAnsi="Garamond"/>
                <w:sz w:val="20"/>
                <w:szCs w:val="20"/>
              </w:rPr>
              <w:t>$22.53</w:t>
            </w:r>
          </w:p>
        </w:tc>
      </w:tr>
      <w:tr w:rsidR="00E208B6" w:rsidTr="005A400D">
        <w:trPr>
          <w:trHeight w:val="2059"/>
        </w:trPr>
        <w:tc>
          <w:tcPr>
            <w:tcW w:w="1286" w:type="dxa"/>
          </w:tcPr>
          <w:p w:rsidR="003764DD" w:rsidRDefault="003764DD" w:rsidP="003764DD">
            <w:pPr>
              <w:rPr>
                <w:rFonts w:ascii="Times" w:eastAsia="Times New Roman" w:hAnsi="Times" w:cs="Times New Roman"/>
                <w:sz w:val="20"/>
                <w:szCs w:val="20"/>
              </w:rPr>
            </w:pPr>
            <w:proofErr w:type="spellStart"/>
            <w:r w:rsidRPr="003764DD">
              <w:rPr>
                <w:rFonts w:ascii="Times" w:eastAsia="Times New Roman" w:hAnsi="Times" w:cs="Times New Roman"/>
                <w:sz w:val="20"/>
                <w:szCs w:val="20"/>
              </w:rPr>
              <w:lastRenderedPageBreak/>
              <w:t>OmniVision</w:t>
            </w:r>
            <w:proofErr w:type="spellEnd"/>
            <w:r w:rsidRPr="003764DD">
              <w:rPr>
                <w:rFonts w:ascii="Times" w:eastAsia="Times New Roman" w:hAnsi="Times" w:cs="Times New Roman"/>
                <w:sz w:val="20"/>
                <w:szCs w:val="20"/>
              </w:rPr>
              <w:t xml:space="preserve"> Technologies, Inc.</w:t>
            </w:r>
          </w:p>
          <w:p w:rsidR="003764DD" w:rsidRPr="003764DD" w:rsidRDefault="003764DD" w:rsidP="003764DD">
            <w:pPr>
              <w:rPr>
                <w:rFonts w:ascii="Times" w:eastAsia="Times New Roman" w:hAnsi="Times" w:cs="Times New Roman"/>
                <w:sz w:val="20"/>
                <w:szCs w:val="20"/>
              </w:rPr>
            </w:pPr>
            <w:r>
              <w:rPr>
                <w:rFonts w:ascii="Times" w:eastAsia="Times New Roman" w:hAnsi="Times" w:cs="Times New Roman"/>
                <w:sz w:val="20"/>
                <w:szCs w:val="20"/>
              </w:rPr>
              <w:t>$OVTI</w:t>
            </w:r>
          </w:p>
          <w:p w:rsidR="00860C2F" w:rsidRPr="00175F41" w:rsidRDefault="00860C2F" w:rsidP="008B76BC">
            <w:pPr>
              <w:rPr>
                <w:sz w:val="18"/>
                <w:szCs w:val="18"/>
              </w:rPr>
            </w:pP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3764DD" w:rsidRPr="003764DD" w:rsidRDefault="003764DD" w:rsidP="003764DD">
            <w:pPr>
              <w:rPr>
                <w:rFonts w:ascii="Garamond" w:eastAsia="Times New Roman" w:hAnsi="Garamond" w:cs="Times New Roman"/>
                <w:sz w:val="20"/>
                <w:szCs w:val="20"/>
              </w:rPr>
            </w:pPr>
            <w:proofErr w:type="spellStart"/>
            <w:r w:rsidRPr="003764DD">
              <w:rPr>
                <w:rFonts w:ascii="Garamond" w:eastAsia="Times New Roman" w:hAnsi="Garamond" w:cs="Times New Roman"/>
                <w:sz w:val="16"/>
                <w:szCs w:val="20"/>
              </w:rPr>
              <w:t>OmniVision</w:t>
            </w:r>
            <w:proofErr w:type="spellEnd"/>
            <w:r w:rsidRPr="003764DD">
              <w:rPr>
                <w:rFonts w:ascii="Garamond" w:eastAsia="Times New Roman" w:hAnsi="Garamond" w:cs="Times New Roman"/>
                <w:sz w:val="16"/>
                <w:szCs w:val="20"/>
              </w:rPr>
              <w:t xml:space="preserve"> Technologies is one the leaders in providing the industry with CMOS sensors that are used in cameras. It has historically innovating a lot to set new industry standards and become the reference in this market. Especially, this industry is currently diversifying a lot because is constantly produces new products. The company is well positioned to take advantage of a market that is expected to grow at a 10% CAGR over the next 5 years. Estimates improved </w:t>
            </w:r>
            <w:proofErr w:type="gramStart"/>
            <w:r w:rsidRPr="003764DD">
              <w:rPr>
                <w:rFonts w:ascii="Garamond" w:eastAsia="Times New Roman" w:hAnsi="Garamond" w:cs="Times New Roman"/>
                <w:sz w:val="16"/>
                <w:szCs w:val="20"/>
              </w:rPr>
              <w:t>earnings estimates recently, which means</w:t>
            </w:r>
            <w:proofErr w:type="gramEnd"/>
            <w:r w:rsidRPr="003764DD">
              <w:rPr>
                <w:rFonts w:ascii="Garamond" w:eastAsia="Times New Roman" w:hAnsi="Garamond" w:cs="Times New Roman"/>
                <w:sz w:val="16"/>
                <w:szCs w:val="20"/>
              </w:rPr>
              <w:t xml:space="preserve"> that they are confident about the company’s growth. Finally </w:t>
            </w:r>
            <w:proofErr w:type="spellStart"/>
            <w:r w:rsidRPr="003764DD">
              <w:rPr>
                <w:rFonts w:ascii="Garamond" w:eastAsia="Times New Roman" w:hAnsi="Garamond" w:cs="Times New Roman"/>
                <w:sz w:val="16"/>
                <w:szCs w:val="20"/>
              </w:rPr>
              <w:t>OmniVision</w:t>
            </w:r>
            <w:proofErr w:type="spellEnd"/>
            <w:r w:rsidRPr="003764DD">
              <w:rPr>
                <w:rFonts w:ascii="Garamond" w:eastAsia="Times New Roman" w:hAnsi="Garamond" w:cs="Times New Roman"/>
                <w:sz w:val="16"/>
                <w:szCs w:val="20"/>
              </w:rPr>
              <w:t xml:space="preserve"> has strong financials, almost no-debt and plenty of cash on hand. The </w:t>
            </w:r>
            <w:proofErr w:type="spellStart"/>
            <w:r w:rsidRPr="003764DD">
              <w:rPr>
                <w:rFonts w:ascii="Garamond" w:eastAsia="Times New Roman" w:hAnsi="Garamond" w:cs="Times New Roman"/>
                <w:sz w:val="16"/>
                <w:szCs w:val="20"/>
              </w:rPr>
              <w:t>prroforma</w:t>
            </w:r>
            <w:proofErr w:type="spellEnd"/>
            <w:r w:rsidRPr="003764DD">
              <w:rPr>
                <w:rFonts w:ascii="Garamond" w:eastAsia="Times New Roman" w:hAnsi="Garamond" w:cs="Times New Roman"/>
                <w:sz w:val="16"/>
                <w:szCs w:val="20"/>
              </w:rPr>
              <w:t xml:space="preserve"> shows that the company’s stock price has a potential return of more than 100%.</w:t>
            </w:r>
          </w:p>
          <w:p w:rsidR="00D46042" w:rsidRPr="00D46042" w:rsidRDefault="00D46042" w:rsidP="00D46042">
            <w:pPr>
              <w:tabs>
                <w:tab w:val="left" w:pos="1200"/>
              </w:tabs>
              <w:jc w:val="both"/>
              <w:rPr>
                <w:rFonts w:ascii="Garamond" w:hAnsi="Garamond"/>
                <w:sz w:val="16"/>
                <w:szCs w:val="16"/>
              </w:rPr>
            </w:pPr>
          </w:p>
          <w:p w:rsidR="00E208B6" w:rsidRPr="00175F41" w:rsidRDefault="00E208B6" w:rsidP="008B76BC">
            <w:pPr>
              <w:jc w:val="both"/>
              <w:rPr>
                <w:rFonts w:ascii="Garamond" w:eastAsia="Arial" w:hAnsi="Garamond" w:cs="Arial"/>
                <w:color w:val="000000"/>
                <w:sz w:val="16"/>
                <w:szCs w:val="16"/>
              </w:rPr>
            </w:pPr>
          </w:p>
        </w:tc>
        <w:tc>
          <w:tcPr>
            <w:tcW w:w="1087" w:type="dxa"/>
          </w:tcPr>
          <w:p w:rsidR="00E208B6" w:rsidRPr="00C820FA" w:rsidRDefault="003764DD" w:rsidP="00D46042">
            <w:pPr>
              <w:jc w:val="center"/>
              <w:rPr>
                <w:rFonts w:ascii="Garamond" w:hAnsi="Garamond"/>
                <w:sz w:val="20"/>
                <w:szCs w:val="20"/>
              </w:rPr>
            </w:pPr>
            <w:r>
              <w:rPr>
                <w:rFonts w:ascii="Garamond" w:hAnsi="Garamond"/>
                <w:sz w:val="20"/>
                <w:szCs w:val="20"/>
              </w:rPr>
              <w:t>$26.47</w:t>
            </w:r>
          </w:p>
        </w:tc>
        <w:tc>
          <w:tcPr>
            <w:tcW w:w="924" w:type="dxa"/>
          </w:tcPr>
          <w:p w:rsidR="00E208B6" w:rsidRPr="00C820FA" w:rsidRDefault="003764DD" w:rsidP="00D46042">
            <w:pPr>
              <w:jc w:val="center"/>
              <w:rPr>
                <w:rFonts w:ascii="Garamond" w:hAnsi="Garamond"/>
                <w:sz w:val="20"/>
                <w:szCs w:val="20"/>
              </w:rPr>
            </w:pPr>
            <w:r>
              <w:rPr>
                <w:rFonts w:ascii="Garamond" w:hAnsi="Garamond"/>
                <w:sz w:val="20"/>
                <w:szCs w:val="20"/>
              </w:rPr>
              <w:t>$61.54</w:t>
            </w:r>
          </w:p>
        </w:tc>
      </w:tr>
      <w:tr w:rsidR="00E208B6" w:rsidTr="005A400D">
        <w:trPr>
          <w:trHeight w:val="1887"/>
        </w:trPr>
        <w:tc>
          <w:tcPr>
            <w:tcW w:w="1286" w:type="dxa"/>
          </w:tcPr>
          <w:p w:rsidR="003764DD" w:rsidRPr="003764DD" w:rsidRDefault="003764DD" w:rsidP="003764DD">
            <w:pPr>
              <w:rPr>
                <w:rFonts w:ascii="Times" w:eastAsia="Times New Roman" w:hAnsi="Times" w:cs="Times New Roman"/>
                <w:sz w:val="20"/>
                <w:szCs w:val="20"/>
              </w:rPr>
            </w:pPr>
            <w:r w:rsidRPr="003764DD">
              <w:rPr>
                <w:rFonts w:ascii="Times" w:eastAsia="Times New Roman" w:hAnsi="Times" w:cs="Times New Roman"/>
                <w:sz w:val="20"/>
                <w:szCs w:val="20"/>
              </w:rPr>
              <w:t>Performance Sports Group Ltd.</w:t>
            </w:r>
          </w:p>
          <w:p w:rsidR="00E9058C" w:rsidRPr="00175F41" w:rsidRDefault="003764DD" w:rsidP="008B76BC">
            <w:pPr>
              <w:rPr>
                <w:sz w:val="18"/>
                <w:szCs w:val="18"/>
              </w:rPr>
            </w:pPr>
            <w:r>
              <w:rPr>
                <w:sz w:val="18"/>
                <w:szCs w:val="18"/>
              </w:rPr>
              <w:t>$PSG</w:t>
            </w:r>
          </w:p>
        </w:tc>
        <w:tc>
          <w:tcPr>
            <w:tcW w:w="815" w:type="dxa"/>
          </w:tcPr>
          <w:p w:rsidR="00E208B6" w:rsidRPr="00C820FA" w:rsidRDefault="005A400D"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3764DD" w:rsidRPr="003764DD" w:rsidRDefault="003764DD" w:rsidP="003764DD">
            <w:pPr>
              <w:rPr>
                <w:rFonts w:ascii="Garamond" w:eastAsia="Times New Roman" w:hAnsi="Garamond" w:cs="Times New Roman"/>
                <w:sz w:val="16"/>
                <w:szCs w:val="20"/>
              </w:rPr>
            </w:pPr>
            <w:r w:rsidRPr="003764DD">
              <w:rPr>
                <w:rFonts w:ascii="Garamond" w:eastAsia="Times New Roman" w:hAnsi="Garamond" w:cs="Times New Roman"/>
                <w:sz w:val="16"/>
                <w:szCs w:val="20"/>
              </w:rPr>
              <w:t>As a growing company that continues to expand its business both organically through strategic acquisitions, Performance Sports Group (PSG) is a BUY with a one year target price of $23.82. Their recent acquisition of Easton will cause PSG to shift their focus towards organic growth as they pay off some of their debt. Controlling leading and growing market shares in growing industries will enable Performance Sports Group to continue its expansion into a leading provider of sports equipment and apparel.</w:t>
            </w:r>
          </w:p>
          <w:p w:rsidR="00E208B6" w:rsidRPr="00D46042" w:rsidRDefault="00E208B6" w:rsidP="005A400D">
            <w:pPr>
              <w:jc w:val="both"/>
              <w:rPr>
                <w:rFonts w:ascii="Garamond" w:eastAsia="Arial" w:hAnsi="Garamond" w:cs="Arial"/>
                <w:color w:val="000000"/>
                <w:sz w:val="16"/>
                <w:szCs w:val="16"/>
              </w:rPr>
            </w:pPr>
          </w:p>
        </w:tc>
        <w:tc>
          <w:tcPr>
            <w:tcW w:w="1087" w:type="dxa"/>
          </w:tcPr>
          <w:p w:rsidR="00E208B6" w:rsidRPr="00C820FA" w:rsidRDefault="00E208B6" w:rsidP="00D46042">
            <w:pPr>
              <w:jc w:val="center"/>
              <w:rPr>
                <w:rFonts w:ascii="Garamond" w:hAnsi="Garamond"/>
                <w:sz w:val="20"/>
                <w:szCs w:val="20"/>
              </w:rPr>
            </w:pPr>
            <w:r w:rsidRPr="00C820FA">
              <w:rPr>
                <w:rFonts w:ascii="Garamond" w:hAnsi="Garamond"/>
                <w:sz w:val="20"/>
                <w:szCs w:val="20"/>
              </w:rPr>
              <w:t>$</w:t>
            </w:r>
            <w:r w:rsidR="003764DD">
              <w:rPr>
                <w:rFonts w:ascii="Garamond" w:hAnsi="Garamond"/>
                <w:sz w:val="20"/>
                <w:szCs w:val="20"/>
              </w:rPr>
              <w:t>18.68</w:t>
            </w:r>
          </w:p>
        </w:tc>
        <w:tc>
          <w:tcPr>
            <w:tcW w:w="924" w:type="dxa"/>
          </w:tcPr>
          <w:p w:rsidR="00FD4146" w:rsidRDefault="003764DD" w:rsidP="005A400D">
            <w:pPr>
              <w:rPr>
                <w:rFonts w:ascii="Garamond" w:hAnsi="Garamond"/>
                <w:sz w:val="20"/>
                <w:szCs w:val="20"/>
              </w:rPr>
            </w:pPr>
            <w:r>
              <w:rPr>
                <w:rFonts w:ascii="Garamond" w:hAnsi="Garamond"/>
                <w:sz w:val="20"/>
                <w:szCs w:val="20"/>
              </w:rPr>
              <w:t>$23.42</w:t>
            </w:r>
          </w:p>
          <w:p w:rsidR="00FD4146" w:rsidRPr="00C820FA" w:rsidRDefault="00FD4146" w:rsidP="005A400D">
            <w:pPr>
              <w:rPr>
                <w:rFonts w:ascii="Garamond" w:hAnsi="Garamond"/>
                <w:sz w:val="20"/>
                <w:szCs w:val="20"/>
              </w:rPr>
            </w:pPr>
          </w:p>
        </w:tc>
      </w:tr>
      <w:tr w:rsidR="00FD4146" w:rsidTr="005A400D">
        <w:trPr>
          <w:trHeight w:val="1887"/>
        </w:trPr>
        <w:tc>
          <w:tcPr>
            <w:tcW w:w="1286" w:type="dxa"/>
          </w:tcPr>
          <w:p w:rsidR="003764DD" w:rsidRPr="003764DD" w:rsidRDefault="003764DD" w:rsidP="003764DD">
            <w:pPr>
              <w:rPr>
                <w:rFonts w:ascii="Times" w:eastAsia="Times New Roman" w:hAnsi="Times" w:cs="Times New Roman"/>
                <w:sz w:val="20"/>
                <w:szCs w:val="20"/>
              </w:rPr>
            </w:pPr>
            <w:r w:rsidRPr="003764DD">
              <w:rPr>
                <w:rFonts w:ascii="Times" w:eastAsia="Times New Roman" w:hAnsi="Times" w:cs="Times New Roman"/>
                <w:sz w:val="20"/>
                <w:szCs w:val="20"/>
              </w:rPr>
              <w:t>Sabre Corp.</w:t>
            </w:r>
          </w:p>
          <w:p w:rsidR="00FD4146" w:rsidRPr="00FD4146" w:rsidRDefault="003764DD" w:rsidP="00FD4146">
            <w:pPr>
              <w:rPr>
                <w:rFonts w:ascii="Times" w:eastAsia="Times New Roman" w:hAnsi="Times" w:cs="Times New Roman"/>
                <w:sz w:val="20"/>
                <w:szCs w:val="20"/>
              </w:rPr>
            </w:pPr>
            <w:r>
              <w:rPr>
                <w:rFonts w:ascii="Times" w:eastAsia="Times New Roman" w:hAnsi="Times" w:cs="Times New Roman"/>
                <w:sz w:val="20"/>
                <w:szCs w:val="20"/>
              </w:rPr>
              <w:t>$SABR</w:t>
            </w:r>
          </w:p>
        </w:tc>
        <w:tc>
          <w:tcPr>
            <w:tcW w:w="815" w:type="dxa"/>
          </w:tcPr>
          <w:p w:rsidR="00FD4146" w:rsidRDefault="003764DD" w:rsidP="008B76BC">
            <w:pPr>
              <w:jc w:val="center"/>
              <w:rPr>
                <w:rFonts w:ascii="Garamond" w:eastAsia="Arial" w:hAnsi="Garamond" w:cs="Arial"/>
                <w:color w:val="000000"/>
                <w:sz w:val="24"/>
                <w:szCs w:val="24"/>
              </w:rPr>
            </w:pPr>
            <w:r>
              <w:rPr>
                <w:rFonts w:ascii="Garamond" w:eastAsia="Arial" w:hAnsi="Garamond" w:cs="Arial"/>
                <w:color w:val="000000"/>
                <w:sz w:val="24"/>
                <w:szCs w:val="24"/>
              </w:rPr>
              <w:t>Hold</w:t>
            </w:r>
          </w:p>
        </w:tc>
        <w:tc>
          <w:tcPr>
            <w:tcW w:w="5525" w:type="dxa"/>
          </w:tcPr>
          <w:p w:rsidR="003764DD" w:rsidRPr="003764DD" w:rsidRDefault="003764DD" w:rsidP="003764DD">
            <w:pPr>
              <w:rPr>
                <w:rFonts w:ascii="Garamond" w:eastAsia="Times New Roman" w:hAnsi="Garamond" w:cs="Times New Roman"/>
                <w:sz w:val="20"/>
                <w:szCs w:val="20"/>
              </w:rPr>
            </w:pPr>
            <w:r w:rsidRPr="003764DD">
              <w:rPr>
                <w:rFonts w:ascii="Garamond" w:eastAsia="Times New Roman" w:hAnsi="Garamond" w:cs="Times New Roman"/>
                <w:sz w:val="16"/>
                <w:szCs w:val="20"/>
              </w:rPr>
              <w:t>Sabre Corporation is a HOLD because of their current valuation, but when considering them from a growth perspective and as a long-term hold they are a buy. This is because of the innovative solutions they provide in the travel industry. Sabre Corporation have positioned themselves well by continuing to be #1 or #2 across all of their product sets. Being best in class is Sabre Corporations competitive advantage against their competition. Their competitive advantage has led to strong booking momentum in their GDS and airline solutions business, which will help growth going forward. Furthermore, they have innovative solutions for companies in the hospitality industry, which is an untapped market. This untapped market will give them a new, significant, and growing revenue stream. Sabre Corporation is well positioned for growth and margin expansion in the upcoming years. SABR stock’s multiple will re-rate higher as they continue to execute to deleverage and expand margins relative to peers.</w:t>
            </w:r>
          </w:p>
          <w:p w:rsidR="00FD4146" w:rsidRPr="00FD4146" w:rsidRDefault="00FD4146" w:rsidP="00FD4146">
            <w:pPr>
              <w:rPr>
                <w:rFonts w:ascii="Garamond" w:eastAsia="Times New Roman" w:hAnsi="Garamond" w:cs="Times New Roman"/>
                <w:sz w:val="16"/>
                <w:szCs w:val="20"/>
              </w:rPr>
            </w:pPr>
          </w:p>
        </w:tc>
        <w:tc>
          <w:tcPr>
            <w:tcW w:w="1087" w:type="dxa"/>
          </w:tcPr>
          <w:p w:rsidR="00FD4146" w:rsidRPr="00C820FA" w:rsidRDefault="003764DD" w:rsidP="00D46042">
            <w:pPr>
              <w:jc w:val="center"/>
              <w:rPr>
                <w:rFonts w:ascii="Garamond" w:hAnsi="Garamond"/>
                <w:sz w:val="20"/>
                <w:szCs w:val="20"/>
              </w:rPr>
            </w:pPr>
            <w:r>
              <w:rPr>
                <w:rFonts w:ascii="Garamond" w:hAnsi="Garamond"/>
                <w:sz w:val="20"/>
                <w:szCs w:val="20"/>
              </w:rPr>
              <w:t>$24.87</w:t>
            </w:r>
          </w:p>
        </w:tc>
        <w:tc>
          <w:tcPr>
            <w:tcW w:w="924" w:type="dxa"/>
          </w:tcPr>
          <w:p w:rsidR="00FD4146" w:rsidRDefault="003764DD" w:rsidP="008B76BC">
            <w:pPr>
              <w:jc w:val="center"/>
              <w:rPr>
                <w:rFonts w:ascii="Garamond" w:hAnsi="Garamond"/>
                <w:sz w:val="20"/>
                <w:szCs w:val="20"/>
              </w:rPr>
            </w:pPr>
            <w:r>
              <w:rPr>
                <w:rFonts w:ascii="Garamond" w:hAnsi="Garamond"/>
                <w:sz w:val="20"/>
                <w:szCs w:val="20"/>
              </w:rPr>
              <w:t>$25.16</w:t>
            </w:r>
          </w:p>
        </w:tc>
      </w:tr>
      <w:tr w:rsidR="003764DD" w:rsidTr="005A400D">
        <w:trPr>
          <w:trHeight w:val="1887"/>
        </w:trPr>
        <w:tc>
          <w:tcPr>
            <w:tcW w:w="1286" w:type="dxa"/>
          </w:tcPr>
          <w:p w:rsidR="003764DD" w:rsidRDefault="003764DD" w:rsidP="003764DD">
            <w:pPr>
              <w:rPr>
                <w:rFonts w:ascii="Times" w:eastAsia="Times New Roman" w:hAnsi="Times" w:cs="Times New Roman"/>
                <w:sz w:val="20"/>
                <w:szCs w:val="20"/>
              </w:rPr>
            </w:pPr>
            <w:proofErr w:type="spellStart"/>
            <w:r w:rsidRPr="003764DD">
              <w:rPr>
                <w:rFonts w:ascii="Times" w:eastAsia="Times New Roman" w:hAnsi="Times" w:cs="Times New Roman"/>
                <w:sz w:val="20"/>
                <w:szCs w:val="20"/>
              </w:rPr>
              <w:t>SciClone</w:t>
            </w:r>
            <w:proofErr w:type="spellEnd"/>
            <w:r w:rsidRPr="003764DD">
              <w:rPr>
                <w:rFonts w:ascii="Times" w:eastAsia="Times New Roman" w:hAnsi="Times" w:cs="Times New Roman"/>
                <w:sz w:val="20"/>
                <w:szCs w:val="20"/>
              </w:rPr>
              <w:t xml:space="preserve"> Pharmaceuticals, Inc.</w:t>
            </w:r>
          </w:p>
          <w:p w:rsidR="003764DD" w:rsidRPr="003764DD" w:rsidRDefault="003764DD" w:rsidP="003764DD">
            <w:pPr>
              <w:rPr>
                <w:rFonts w:ascii="Times" w:eastAsia="Times New Roman" w:hAnsi="Times" w:cs="Times New Roman"/>
                <w:sz w:val="20"/>
                <w:szCs w:val="20"/>
              </w:rPr>
            </w:pPr>
            <w:r>
              <w:rPr>
                <w:rFonts w:ascii="Times" w:eastAsia="Times New Roman" w:hAnsi="Times" w:cs="Times New Roman"/>
                <w:sz w:val="20"/>
                <w:szCs w:val="20"/>
              </w:rPr>
              <w:t>$SCLN</w:t>
            </w:r>
          </w:p>
        </w:tc>
        <w:tc>
          <w:tcPr>
            <w:tcW w:w="815" w:type="dxa"/>
          </w:tcPr>
          <w:p w:rsidR="003764DD" w:rsidRDefault="003764DD"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2F1010" w:rsidRPr="002F1010" w:rsidRDefault="002F1010" w:rsidP="002F1010">
            <w:pPr>
              <w:rPr>
                <w:rFonts w:ascii="Garamond" w:eastAsia="Times New Roman" w:hAnsi="Garamond" w:cs="Times New Roman"/>
                <w:sz w:val="18"/>
                <w:szCs w:val="20"/>
              </w:rPr>
            </w:pPr>
            <w:proofErr w:type="spellStart"/>
            <w:r w:rsidRPr="002F1010">
              <w:rPr>
                <w:rFonts w:ascii="Garamond" w:eastAsia="Times New Roman" w:hAnsi="Garamond" w:cs="Times New Roman"/>
                <w:sz w:val="18"/>
                <w:szCs w:val="20"/>
              </w:rPr>
              <w:t>SciClone</w:t>
            </w:r>
            <w:proofErr w:type="spellEnd"/>
            <w:r w:rsidRPr="002F1010">
              <w:rPr>
                <w:rFonts w:ascii="Garamond" w:eastAsia="Times New Roman" w:hAnsi="Garamond" w:cs="Times New Roman"/>
                <w:sz w:val="18"/>
                <w:szCs w:val="20"/>
              </w:rPr>
              <w:t xml:space="preserve"> is a growing company. It is led by talented people with every one of them having more than 20 years of experience in the healthcare industry. The pharmaceutical industry is a very competitive one. In order to increase its presence, </w:t>
            </w:r>
            <w:proofErr w:type="spellStart"/>
            <w:r w:rsidRPr="002F1010">
              <w:rPr>
                <w:rFonts w:ascii="Garamond" w:eastAsia="Times New Roman" w:hAnsi="Garamond" w:cs="Times New Roman"/>
                <w:sz w:val="18"/>
                <w:szCs w:val="20"/>
              </w:rPr>
              <w:t>SciClone</w:t>
            </w:r>
            <w:proofErr w:type="spellEnd"/>
            <w:r w:rsidRPr="002F1010">
              <w:rPr>
                <w:rFonts w:ascii="Garamond" w:eastAsia="Times New Roman" w:hAnsi="Garamond" w:cs="Times New Roman"/>
                <w:sz w:val="18"/>
                <w:szCs w:val="20"/>
              </w:rPr>
              <w:t xml:space="preserve"> uses in-licensing agreements to increase its brand recognition and benefit from bigger players in the industry. In addition, the company is China-focused. The healthcare industry in China is a promising industry with a lot of growth opportunities. SCLN has been established in China for more than 10 years. The company knew how to take advantage of the market a decade ago and the potential for growth is still increasing. Finally, the company is debt free, generates cash and creates value. Thanks to the multiples approach, the company shows sign of undervaluation. Thus, thought he upside potential is in the 15% range, the company downside is very limited, which makes it a 99.45% risk-free investment.</w:t>
            </w:r>
          </w:p>
          <w:p w:rsidR="003764DD" w:rsidRPr="002F1010" w:rsidRDefault="003764DD" w:rsidP="003764DD">
            <w:pPr>
              <w:rPr>
                <w:rFonts w:ascii="Garamond" w:eastAsia="Times New Roman" w:hAnsi="Garamond" w:cs="Times New Roman"/>
                <w:sz w:val="18"/>
                <w:szCs w:val="20"/>
              </w:rPr>
            </w:pPr>
          </w:p>
        </w:tc>
        <w:tc>
          <w:tcPr>
            <w:tcW w:w="1087" w:type="dxa"/>
          </w:tcPr>
          <w:p w:rsidR="003764DD" w:rsidRDefault="002F1010" w:rsidP="00D46042">
            <w:pPr>
              <w:jc w:val="center"/>
              <w:rPr>
                <w:rFonts w:ascii="Garamond" w:hAnsi="Garamond"/>
                <w:sz w:val="20"/>
                <w:szCs w:val="20"/>
              </w:rPr>
            </w:pPr>
            <w:r>
              <w:rPr>
                <w:rFonts w:ascii="Garamond" w:hAnsi="Garamond"/>
                <w:sz w:val="20"/>
                <w:szCs w:val="20"/>
              </w:rPr>
              <w:t>$8.97</w:t>
            </w:r>
          </w:p>
        </w:tc>
        <w:tc>
          <w:tcPr>
            <w:tcW w:w="924" w:type="dxa"/>
          </w:tcPr>
          <w:p w:rsidR="003764DD" w:rsidRDefault="002F1010" w:rsidP="008B76BC">
            <w:pPr>
              <w:jc w:val="center"/>
              <w:rPr>
                <w:rFonts w:ascii="Garamond" w:hAnsi="Garamond"/>
                <w:sz w:val="20"/>
                <w:szCs w:val="20"/>
              </w:rPr>
            </w:pPr>
            <w:r>
              <w:rPr>
                <w:rFonts w:ascii="Garamond" w:hAnsi="Garamond"/>
                <w:sz w:val="20"/>
                <w:szCs w:val="20"/>
              </w:rPr>
              <w:t>$10.43</w:t>
            </w:r>
          </w:p>
        </w:tc>
      </w:tr>
    </w:tbl>
    <w:p w:rsidR="00797FCC" w:rsidRDefault="00797FCC"/>
    <w:sectPr w:rsidR="00797FCC" w:rsidSect="00FD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DB"/>
    <w:rsid w:val="000F32DB"/>
    <w:rsid w:val="001021DB"/>
    <w:rsid w:val="00162AD6"/>
    <w:rsid w:val="00175F41"/>
    <w:rsid w:val="001C55EE"/>
    <w:rsid w:val="002F1010"/>
    <w:rsid w:val="003764DD"/>
    <w:rsid w:val="0054731E"/>
    <w:rsid w:val="005A400D"/>
    <w:rsid w:val="00675616"/>
    <w:rsid w:val="00797FCC"/>
    <w:rsid w:val="00860C2F"/>
    <w:rsid w:val="008672FD"/>
    <w:rsid w:val="008B76BC"/>
    <w:rsid w:val="009468EC"/>
    <w:rsid w:val="00AB1A39"/>
    <w:rsid w:val="00C820FA"/>
    <w:rsid w:val="00D03B56"/>
    <w:rsid w:val="00D46042"/>
    <w:rsid w:val="00DF0B75"/>
    <w:rsid w:val="00E0245E"/>
    <w:rsid w:val="00E208B6"/>
    <w:rsid w:val="00E9058C"/>
    <w:rsid w:val="00FA76B2"/>
    <w:rsid w:val="00FD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812">
      <w:bodyDiv w:val="1"/>
      <w:marLeft w:val="0"/>
      <w:marRight w:val="0"/>
      <w:marTop w:val="0"/>
      <w:marBottom w:val="0"/>
      <w:divBdr>
        <w:top w:val="none" w:sz="0" w:space="0" w:color="auto"/>
        <w:left w:val="none" w:sz="0" w:space="0" w:color="auto"/>
        <w:bottom w:val="none" w:sz="0" w:space="0" w:color="auto"/>
        <w:right w:val="none" w:sz="0" w:space="0" w:color="auto"/>
      </w:divBdr>
    </w:div>
    <w:div w:id="134880248">
      <w:bodyDiv w:val="1"/>
      <w:marLeft w:val="0"/>
      <w:marRight w:val="0"/>
      <w:marTop w:val="0"/>
      <w:marBottom w:val="0"/>
      <w:divBdr>
        <w:top w:val="none" w:sz="0" w:space="0" w:color="auto"/>
        <w:left w:val="none" w:sz="0" w:space="0" w:color="auto"/>
        <w:bottom w:val="none" w:sz="0" w:space="0" w:color="auto"/>
        <w:right w:val="none" w:sz="0" w:space="0" w:color="auto"/>
      </w:divBdr>
    </w:div>
    <w:div w:id="152111148">
      <w:bodyDiv w:val="1"/>
      <w:marLeft w:val="0"/>
      <w:marRight w:val="0"/>
      <w:marTop w:val="0"/>
      <w:marBottom w:val="0"/>
      <w:divBdr>
        <w:top w:val="none" w:sz="0" w:space="0" w:color="auto"/>
        <w:left w:val="none" w:sz="0" w:space="0" w:color="auto"/>
        <w:bottom w:val="none" w:sz="0" w:space="0" w:color="auto"/>
        <w:right w:val="none" w:sz="0" w:space="0" w:color="auto"/>
      </w:divBdr>
    </w:div>
    <w:div w:id="164903087">
      <w:bodyDiv w:val="1"/>
      <w:marLeft w:val="0"/>
      <w:marRight w:val="0"/>
      <w:marTop w:val="0"/>
      <w:marBottom w:val="0"/>
      <w:divBdr>
        <w:top w:val="none" w:sz="0" w:space="0" w:color="auto"/>
        <w:left w:val="none" w:sz="0" w:space="0" w:color="auto"/>
        <w:bottom w:val="none" w:sz="0" w:space="0" w:color="auto"/>
        <w:right w:val="none" w:sz="0" w:space="0" w:color="auto"/>
      </w:divBdr>
    </w:div>
    <w:div w:id="214853766">
      <w:bodyDiv w:val="1"/>
      <w:marLeft w:val="0"/>
      <w:marRight w:val="0"/>
      <w:marTop w:val="0"/>
      <w:marBottom w:val="0"/>
      <w:divBdr>
        <w:top w:val="none" w:sz="0" w:space="0" w:color="auto"/>
        <w:left w:val="none" w:sz="0" w:space="0" w:color="auto"/>
        <w:bottom w:val="none" w:sz="0" w:space="0" w:color="auto"/>
        <w:right w:val="none" w:sz="0" w:space="0" w:color="auto"/>
      </w:divBdr>
    </w:div>
    <w:div w:id="292055788">
      <w:bodyDiv w:val="1"/>
      <w:marLeft w:val="0"/>
      <w:marRight w:val="0"/>
      <w:marTop w:val="0"/>
      <w:marBottom w:val="0"/>
      <w:divBdr>
        <w:top w:val="none" w:sz="0" w:space="0" w:color="auto"/>
        <w:left w:val="none" w:sz="0" w:space="0" w:color="auto"/>
        <w:bottom w:val="none" w:sz="0" w:space="0" w:color="auto"/>
        <w:right w:val="none" w:sz="0" w:space="0" w:color="auto"/>
      </w:divBdr>
    </w:div>
    <w:div w:id="315912704">
      <w:bodyDiv w:val="1"/>
      <w:marLeft w:val="0"/>
      <w:marRight w:val="0"/>
      <w:marTop w:val="0"/>
      <w:marBottom w:val="0"/>
      <w:divBdr>
        <w:top w:val="none" w:sz="0" w:space="0" w:color="auto"/>
        <w:left w:val="none" w:sz="0" w:space="0" w:color="auto"/>
        <w:bottom w:val="none" w:sz="0" w:space="0" w:color="auto"/>
        <w:right w:val="none" w:sz="0" w:space="0" w:color="auto"/>
      </w:divBdr>
    </w:div>
    <w:div w:id="432364632">
      <w:bodyDiv w:val="1"/>
      <w:marLeft w:val="0"/>
      <w:marRight w:val="0"/>
      <w:marTop w:val="0"/>
      <w:marBottom w:val="0"/>
      <w:divBdr>
        <w:top w:val="none" w:sz="0" w:space="0" w:color="auto"/>
        <w:left w:val="none" w:sz="0" w:space="0" w:color="auto"/>
        <w:bottom w:val="none" w:sz="0" w:space="0" w:color="auto"/>
        <w:right w:val="none" w:sz="0" w:space="0" w:color="auto"/>
      </w:divBdr>
    </w:div>
    <w:div w:id="484704308">
      <w:bodyDiv w:val="1"/>
      <w:marLeft w:val="0"/>
      <w:marRight w:val="0"/>
      <w:marTop w:val="0"/>
      <w:marBottom w:val="0"/>
      <w:divBdr>
        <w:top w:val="none" w:sz="0" w:space="0" w:color="auto"/>
        <w:left w:val="none" w:sz="0" w:space="0" w:color="auto"/>
        <w:bottom w:val="none" w:sz="0" w:space="0" w:color="auto"/>
        <w:right w:val="none" w:sz="0" w:space="0" w:color="auto"/>
      </w:divBdr>
    </w:div>
    <w:div w:id="495801931">
      <w:bodyDiv w:val="1"/>
      <w:marLeft w:val="0"/>
      <w:marRight w:val="0"/>
      <w:marTop w:val="0"/>
      <w:marBottom w:val="0"/>
      <w:divBdr>
        <w:top w:val="none" w:sz="0" w:space="0" w:color="auto"/>
        <w:left w:val="none" w:sz="0" w:space="0" w:color="auto"/>
        <w:bottom w:val="none" w:sz="0" w:space="0" w:color="auto"/>
        <w:right w:val="none" w:sz="0" w:space="0" w:color="auto"/>
      </w:divBdr>
    </w:div>
    <w:div w:id="519587082">
      <w:bodyDiv w:val="1"/>
      <w:marLeft w:val="0"/>
      <w:marRight w:val="0"/>
      <w:marTop w:val="0"/>
      <w:marBottom w:val="0"/>
      <w:divBdr>
        <w:top w:val="none" w:sz="0" w:space="0" w:color="auto"/>
        <w:left w:val="none" w:sz="0" w:space="0" w:color="auto"/>
        <w:bottom w:val="none" w:sz="0" w:space="0" w:color="auto"/>
        <w:right w:val="none" w:sz="0" w:space="0" w:color="auto"/>
      </w:divBdr>
    </w:div>
    <w:div w:id="653875315">
      <w:bodyDiv w:val="1"/>
      <w:marLeft w:val="0"/>
      <w:marRight w:val="0"/>
      <w:marTop w:val="0"/>
      <w:marBottom w:val="0"/>
      <w:divBdr>
        <w:top w:val="none" w:sz="0" w:space="0" w:color="auto"/>
        <w:left w:val="none" w:sz="0" w:space="0" w:color="auto"/>
        <w:bottom w:val="none" w:sz="0" w:space="0" w:color="auto"/>
        <w:right w:val="none" w:sz="0" w:space="0" w:color="auto"/>
      </w:divBdr>
    </w:div>
    <w:div w:id="756169963">
      <w:bodyDiv w:val="1"/>
      <w:marLeft w:val="0"/>
      <w:marRight w:val="0"/>
      <w:marTop w:val="0"/>
      <w:marBottom w:val="0"/>
      <w:divBdr>
        <w:top w:val="none" w:sz="0" w:space="0" w:color="auto"/>
        <w:left w:val="none" w:sz="0" w:space="0" w:color="auto"/>
        <w:bottom w:val="none" w:sz="0" w:space="0" w:color="auto"/>
        <w:right w:val="none" w:sz="0" w:space="0" w:color="auto"/>
      </w:divBdr>
    </w:div>
    <w:div w:id="877399872">
      <w:bodyDiv w:val="1"/>
      <w:marLeft w:val="0"/>
      <w:marRight w:val="0"/>
      <w:marTop w:val="0"/>
      <w:marBottom w:val="0"/>
      <w:divBdr>
        <w:top w:val="none" w:sz="0" w:space="0" w:color="auto"/>
        <w:left w:val="none" w:sz="0" w:space="0" w:color="auto"/>
        <w:bottom w:val="none" w:sz="0" w:space="0" w:color="auto"/>
        <w:right w:val="none" w:sz="0" w:space="0" w:color="auto"/>
      </w:divBdr>
    </w:div>
    <w:div w:id="884760655">
      <w:bodyDiv w:val="1"/>
      <w:marLeft w:val="0"/>
      <w:marRight w:val="0"/>
      <w:marTop w:val="0"/>
      <w:marBottom w:val="0"/>
      <w:divBdr>
        <w:top w:val="none" w:sz="0" w:space="0" w:color="auto"/>
        <w:left w:val="none" w:sz="0" w:space="0" w:color="auto"/>
        <w:bottom w:val="none" w:sz="0" w:space="0" w:color="auto"/>
        <w:right w:val="none" w:sz="0" w:space="0" w:color="auto"/>
      </w:divBdr>
    </w:div>
    <w:div w:id="970555325">
      <w:bodyDiv w:val="1"/>
      <w:marLeft w:val="0"/>
      <w:marRight w:val="0"/>
      <w:marTop w:val="0"/>
      <w:marBottom w:val="0"/>
      <w:divBdr>
        <w:top w:val="none" w:sz="0" w:space="0" w:color="auto"/>
        <w:left w:val="none" w:sz="0" w:space="0" w:color="auto"/>
        <w:bottom w:val="none" w:sz="0" w:space="0" w:color="auto"/>
        <w:right w:val="none" w:sz="0" w:space="0" w:color="auto"/>
      </w:divBdr>
    </w:div>
    <w:div w:id="1003364584">
      <w:bodyDiv w:val="1"/>
      <w:marLeft w:val="0"/>
      <w:marRight w:val="0"/>
      <w:marTop w:val="0"/>
      <w:marBottom w:val="0"/>
      <w:divBdr>
        <w:top w:val="none" w:sz="0" w:space="0" w:color="auto"/>
        <w:left w:val="none" w:sz="0" w:space="0" w:color="auto"/>
        <w:bottom w:val="none" w:sz="0" w:space="0" w:color="auto"/>
        <w:right w:val="none" w:sz="0" w:space="0" w:color="auto"/>
      </w:divBdr>
    </w:div>
    <w:div w:id="1018388329">
      <w:bodyDiv w:val="1"/>
      <w:marLeft w:val="0"/>
      <w:marRight w:val="0"/>
      <w:marTop w:val="0"/>
      <w:marBottom w:val="0"/>
      <w:divBdr>
        <w:top w:val="none" w:sz="0" w:space="0" w:color="auto"/>
        <w:left w:val="none" w:sz="0" w:space="0" w:color="auto"/>
        <w:bottom w:val="none" w:sz="0" w:space="0" w:color="auto"/>
        <w:right w:val="none" w:sz="0" w:space="0" w:color="auto"/>
      </w:divBdr>
    </w:div>
    <w:div w:id="1114639704">
      <w:bodyDiv w:val="1"/>
      <w:marLeft w:val="0"/>
      <w:marRight w:val="0"/>
      <w:marTop w:val="0"/>
      <w:marBottom w:val="0"/>
      <w:divBdr>
        <w:top w:val="none" w:sz="0" w:space="0" w:color="auto"/>
        <w:left w:val="none" w:sz="0" w:space="0" w:color="auto"/>
        <w:bottom w:val="none" w:sz="0" w:space="0" w:color="auto"/>
        <w:right w:val="none" w:sz="0" w:space="0" w:color="auto"/>
      </w:divBdr>
    </w:div>
    <w:div w:id="1123040211">
      <w:bodyDiv w:val="1"/>
      <w:marLeft w:val="0"/>
      <w:marRight w:val="0"/>
      <w:marTop w:val="0"/>
      <w:marBottom w:val="0"/>
      <w:divBdr>
        <w:top w:val="none" w:sz="0" w:space="0" w:color="auto"/>
        <w:left w:val="none" w:sz="0" w:space="0" w:color="auto"/>
        <w:bottom w:val="none" w:sz="0" w:space="0" w:color="auto"/>
        <w:right w:val="none" w:sz="0" w:space="0" w:color="auto"/>
      </w:divBdr>
    </w:div>
    <w:div w:id="1156723587">
      <w:bodyDiv w:val="1"/>
      <w:marLeft w:val="0"/>
      <w:marRight w:val="0"/>
      <w:marTop w:val="0"/>
      <w:marBottom w:val="0"/>
      <w:divBdr>
        <w:top w:val="none" w:sz="0" w:space="0" w:color="auto"/>
        <w:left w:val="none" w:sz="0" w:space="0" w:color="auto"/>
        <w:bottom w:val="none" w:sz="0" w:space="0" w:color="auto"/>
        <w:right w:val="none" w:sz="0" w:space="0" w:color="auto"/>
      </w:divBdr>
    </w:div>
    <w:div w:id="1190534786">
      <w:bodyDiv w:val="1"/>
      <w:marLeft w:val="0"/>
      <w:marRight w:val="0"/>
      <w:marTop w:val="0"/>
      <w:marBottom w:val="0"/>
      <w:divBdr>
        <w:top w:val="none" w:sz="0" w:space="0" w:color="auto"/>
        <w:left w:val="none" w:sz="0" w:space="0" w:color="auto"/>
        <w:bottom w:val="none" w:sz="0" w:space="0" w:color="auto"/>
        <w:right w:val="none" w:sz="0" w:space="0" w:color="auto"/>
      </w:divBdr>
    </w:div>
    <w:div w:id="1193036583">
      <w:bodyDiv w:val="1"/>
      <w:marLeft w:val="0"/>
      <w:marRight w:val="0"/>
      <w:marTop w:val="0"/>
      <w:marBottom w:val="0"/>
      <w:divBdr>
        <w:top w:val="none" w:sz="0" w:space="0" w:color="auto"/>
        <w:left w:val="none" w:sz="0" w:space="0" w:color="auto"/>
        <w:bottom w:val="none" w:sz="0" w:space="0" w:color="auto"/>
        <w:right w:val="none" w:sz="0" w:space="0" w:color="auto"/>
      </w:divBdr>
    </w:div>
    <w:div w:id="1257521593">
      <w:bodyDiv w:val="1"/>
      <w:marLeft w:val="0"/>
      <w:marRight w:val="0"/>
      <w:marTop w:val="0"/>
      <w:marBottom w:val="0"/>
      <w:divBdr>
        <w:top w:val="none" w:sz="0" w:space="0" w:color="auto"/>
        <w:left w:val="none" w:sz="0" w:space="0" w:color="auto"/>
        <w:bottom w:val="none" w:sz="0" w:space="0" w:color="auto"/>
        <w:right w:val="none" w:sz="0" w:space="0" w:color="auto"/>
      </w:divBdr>
    </w:div>
    <w:div w:id="1286235849">
      <w:bodyDiv w:val="1"/>
      <w:marLeft w:val="0"/>
      <w:marRight w:val="0"/>
      <w:marTop w:val="0"/>
      <w:marBottom w:val="0"/>
      <w:divBdr>
        <w:top w:val="none" w:sz="0" w:space="0" w:color="auto"/>
        <w:left w:val="none" w:sz="0" w:space="0" w:color="auto"/>
        <w:bottom w:val="none" w:sz="0" w:space="0" w:color="auto"/>
        <w:right w:val="none" w:sz="0" w:space="0" w:color="auto"/>
      </w:divBdr>
    </w:div>
    <w:div w:id="1327830798">
      <w:bodyDiv w:val="1"/>
      <w:marLeft w:val="0"/>
      <w:marRight w:val="0"/>
      <w:marTop w:val="0"/>
      <w:marBottom w:val="0"/>
      <w:divBdr>
        <w:top w:val="none" w:sz="0" w:space="0" w:color="auto"/>
        <w:left w:val="none" w:sz="0" w:space="0" w:color="auto"/>
        <w:bottom w:val="none" w:sz="0" w:space="0" w:color="auto"/>
        <w:right w:val="none" w:sz="0" w:space="0" w:color="auto"/>
      </w:divBdr>
    </w:div>
    <w:div w:id="1367751509">
      <w:bodyDiv w:val="1"/>
      <w:marLeft w:val="0"/>
      <w:marRight w:val="0"/>
      <w:marTop w:val="0"/>
      <w:marBottom w:val="0"/>
      <w:divBdr>
        <w:top w:val="none" w:sz="0" w:space="0" w:color="auto"/>
        <w:left w:val="none" w:sz="0" w:space="0" w:color="auto"/>
        <w:bottom w:val="none" w:sz="0" w:space="0" w:color="auto"/>
        <w:right w:val="none" w:sz="0" w:space="0" w:color="auto"/>
      </w:divBdr>
    </w:div>
    <w:div w:id="1369650159">
      <w:bodyDiv w:val="1"/>
      <w:marLeft w:val="0"/>
      <w:marRight w:val="0"/>
      <w:marTop w:val="0"/>
      <w:marBottom w:val="0"/>
      <w:divBdr>
        <w:top w:val="none" w:sz="0" w:space="0" w:color="auto"/>
        <w:left w:val="none" w:sz="0" w:space="0" w:color="auto"/>
        <w:bottom w:val="none" w:sz="0" w:space="0" w:color="auto"/>
        <w:right w:val="none" w:sz="0" w:space="0" w:color="auto"/>
      </w:divBdr>
    </w:div>
    <w:div w:id="1371144467">
      <w:bodyDiv w:val="1"/>
      <w:marLeft w:val="0"/>
      <w:marRight w:val="0"/>
      <w:marTop w:val="0"/>
      <w:marBottom w:val="0"/>
      <w:divBdr>
        <w:top w:val="none" w:sz="0" w:space="0" w:color="auto"/>
        <w:left w:val="none" w:sz="0" w:space="0" w:color="auto"/>
        <w:bottom w:val="none" w:sz="0" w:space="0" w:color="auto"/>
        <w:right w:val="none" w:sz="0" w:space="0" w:color="auto"/>
      </w:divBdr>
    </w:div>
    <w:div w:id="1437486319">
      <w:bodyDiv w:val="1"/>
      <w:marLeft w:val="0"/>
      <w:marRight w:val="0"/>
      <w:marTop w:val="0"/>
      <w:marBottom w:val="0"/>
      <w:divBdr>
        <w:top w:val="none" w:sz="0" w:space="0" w:color="auto"/>
        <w:left w:val="none" w:sz="0" w:space="0" w:color="auto"/>
        <w:bottom w:val="none" w:sz="0" w:space="0" w:color="auto"/>
        <w:right w:val="none" w:sz="0" w:space="0" w:color="auto"/>
      </w:divBdr>
    </w:div>
    <w:div w:id="1476147675">
      <w:bodyDiv w:val="1"/>
      <w:marLeft w:val="0"/>
      <w:marRight w:val="0"/>
      <w:marTop w:val="0"/>
      <w:marBottom w:val="0"/>
      <w:divBdr>
        <w:top w:val="none" w:sz="0" w:space="0" w:color="auto"/>
        <w:left w:val="none" w:sz="0" w:space="0" w:color="auto"/>
        <w:bottom w:val="none" w:sz="0" w:space="0" w:color="auto"/>
        <w:right w:val="none" w:sz="0" w:space="0" w:color="auto"/>
      </w:divBdr>
    </w:div>
    <w:div w:id="1481388943">
      <w:bodyDiv w:val="1"/>
      <w:marLeft w:val="0"/>
      <w:marRight w:val="0"/>
      <w:marTop w:val="0"/>
      <w:marBottom w:val="0"/>
      <w:divBdr>
        <w:top w:val="none" w:sz="0" w:space="0" w:color="auto"/>
        <w:left w:val="none" w:sz="0" w:space="0" w:color="auto"/>
        <w:bottom w:val="none" w:sz="0" w:space="0" w:color="auto"/>
        <w:right w:val="none" w:sz="0" w:space="0" w:color="auto"/>
      </w:divBdr>
    </w:div>
    <w:div w:id="1544056092">
      <w:bodyDiv w:val="1"/>
      <w:marLeft w:val="0"/>
      <w:marRight w:val="0"/>
      <w:marTop w:val="0"/>
      <w:marBottom w:val="0"/>
      <w:divBdr>
        <w:top w:val="none" w:sz="0" w:space="0" w:color="auto"/>
        <w:left w:val="none" w:sz="0" w:space="0" w:color="auto"/>
        <w:bottom w:val="none" w:sz="0" w:space="0" w:color="auto"/>
        <w:right w:val="none" w:sz="0" w:space="0" w:color="auto"/>
      </w:divBdr>
    </w:div>
    <w:div w:id="1553924500">
      <w:bodyDiv w:val="1"/>
      <w:marLeft w:val="0"/>
      <w:marRight w:val="0"/>
      <w:marTop w:val="0"/>
      <w:marBottom w:val="0"/>
      <w:divBdr>
        <w:top w:val="none" w:sz="0" w:space="0" w:color="auto"/>
        <w:left w:val="none" w:sz="0" w:space="0" w:color="auto"/>
        <w:bottom w:val="none" w:sz="0" w:space="0" w:color="auto"/>
        <w:right w:val="none" w:sz="0" w:space="0" w:color="auto"/>
      </w:divBdr>
    </w:div>
    <w:div w:id="1563640361">
      <w:bodyDiv w:val="1"/>
      <w:marLeft w:val="0"/>
      <w:marRight w:val="0"/>
      <w:marTop w:val="0"/>
      <w:marBottom w:val="0"/>
      <w:divBdr>
        <w:top w:val="none" w:sz="0" w:space="0" w:color="auto"/>
        <w:left w:val="none" w:sz="0" w:space="0" w:color="auto"/>
        <w:bottom w:val="none" w:sz="0" w:space="0" w:color="auto"/>
        <w:right w:val="none" w:sz="0" w:space="0" w:color="auto"/>
      </w:divBdr>
    </w:div>
    <w:div w:id="1584298421">
      <w:bodyDiv w:val="1"/>
      <w:marLeft w:val="0"/>
      <w:marRight w:val="0"/>
      <w:marTop w:val="0"/>
      <w:marBottom w:val="0"/>
      <w:divBdr>
        <w:top w:val="none" w:sz="0" w:space="0" w:color="auto"/>
        <w:left w:val="none" w:sz="0" w:space="0" w:color="auto"/>
        <w:bottom w:val="none" w:sz="0" w:space="0" w:color="auto"/>
        <w:right w:val="none" w:sz="0" w:space="0" w:color="auto"/>
      </w:divBdr>
    </w:div>
    <w:div w:id="1588689882">
      <w:bodyDiv w:val="1"/>
      <w:marLeft w:val="0"/>
      <w:marRight w:val="0"/>
      <w:marTop w:val="0"/>
      <w:marBottom w:val="0"/>
      <w:divBdr>
        <w:top w:val="none" w:sz="0" w:space="0" w:color="auto"/>
        <w:left w:val="none" w:sz="0" w:space="0" w:color="auto"/>
        <w:bottom w:val="none" w:sz="0" w:space="0" w:color="auto"/>
        <w:right w:val="none" w:sz="0" w:space="0" w:color="auto"/>
      </w:divBdr>
    </w:div>
    <w:div w:id="1606428199">
      <w:bodyDiv w:val="1"/>
      <w:marLeft w:val="0"/>
      <w:marRight w:val="0"/>
      <w:marTop w:val="0"/>
      <w:marBottom w:val="0"/>
      <w:divBdr>
        <w:top w:val="none" w:sz="0" w:space="0" w:color="auto"/>
        <w:left w:val="none" w:sz="0" w:space="0" w:color="auto"/>
        <w:bottom w:val="none" w:sz="0" w:space="0" w:color="auto"/>
        <w:right w:val="none" w:sz="0" w:space="0" w:color="auto"/>
      </w:divBdr>
    </w:div>
    <w:div w:id="1621453280">
      <w:bodyDiv w:val="1"/>
      <w:marLeft w:val="0"/>
      <w:marRight w:val="0"/>
      <w:marTop w:val="0"/>
      <w:marBottom w:val="0"/>
      <w:divBdr>
        <w:top w:val="none" w:sz="0" w:space="0" w:color="auto"/>
        <w:left w:val="none" w:sz="0" w:space="0" w:color="auto"/>
        <w:bottom w:val="none" w:sz="0" w:space="0" w:color="auto"/>
        <w:right w:val="none" w:sz="0" w:space="0" w:color="auto"/>
      </w:divBdr>
    </w:div>
    <w:div w:id="1678462121">
      <w:bodyDiv w:val="1"/>
      <w:marLeft w:val="0"/>
      <w:marRight w:val="0"/>
      <w:marTop w:val="0"/>
      <w:marBottom w:val="0"/>
      <w:divBdr>
        <w:top w:val="none" w:sz="0" w:space="0" w:color="auto"/>
        <w:left w:val="none" w:sz="0" w:space="0" w:color="auto"/>
        <w:bottom w:val="none" w:sz="0" w:space="0" w:color="auto"/>
        <w:right w:val="none" w:sz="0" w:space="0" w:color="auto"/>
      </w:divBdr>
    </w:div>
    <w:div w:id="1714886067">
      <w:bodyDiv w:val="1"/>
      <w:marLeft w:val="0"/>
      <w:marRight w:val="0"/>
      <w:marTop w:val="0"/>
      <w:marBottom w:val="0"/>
      <w:divBdr>
        <w:top w:val="none" w:sz="0" w:space="0" w:color="auto"/>
        <w:left w:val="none" w:sz="0" w:space="0" w:color="auto"/>
        <w:bottom w:val="none" w:sz="0" w:space="0" w:color="auto"/>
        <w:right w:val="none" w:sz="0" w:space="0" w:color="auto"/>
      </w:divBdr>
    </w:div>
    <w:div w:id="1890610864">
      <w:bodyDiv w:val="1"/>
      <w:marLeft w:val="0"/>
      <w:marRight w:val="0"/>
      <w:marTop w:val="0"/>
      <w:marBottom w:val="0"/>
      <w:divBdr>
        <w:top w:val="none" w:sz="0" w:space="0" w:color="auto"/>
        <w:left w:val="none" w:sz="0" w:space="0" w:color="auto"/>
        <w:bottom w:val="none" w:sz="0" w:space="0" w:color="auto"/>
        <w:right w:val="none" w:sz="0" w:space="0" w:color="auto"/>
      </w:divBdr>
    </w:div>
    <w:div w:id="1941179545">
      <w:bodyDiv w:val="1"/>
      <w:marLeft w:val="0"/>
      <w:marRight w:val="0"/>
      <w:marTop w:val="0"/>
      <w:marBottom w:val="0"/>
      <w:divBdr>
        <w:top w:val="none" w:sz="0" w:space="0" w:color="auto"/>
        <w:left w:val="none" w:sz="0" w:space="0" w:color="auto"/>
        <w:bottom w:val="none" w:sz="0" w:space="0" w:color="auto"/>
        <w:right w:val="none" w:sz="0" w:space="0" w:color="auto"/>
      </w:divBdr>
    </w:div>
    <w:div w:id="1953173179">
      <w:bodyDiv w:val="1"/>
      <w:marLeft w:val="0"/>
      <w:marRight w:val="0"/>
      <w:marTop w:val="0"/>
      <w:marBottom w:val="0"/>
      <w:divBdr>
        <w:top w:val="none" w:sz="0" w:space="0" w:color="auto"/>
        <w:left w:val="none" w:sz="0" w:space="0" w:color="auto"/>
        <w:bottom w:val="none" w:sz="0" w:space="0" w:color="auto"/>
        <w:right w:val="none" w:sz="0" w:space="0" w:color="auto"/>
      </w:divBdr>
    </w:div>
    <w:div w:id="2107144413">
      <w:bodyDiv w:val="1"/>
      <w:marLeft w:val="0"/>
      <w:marRight w:val="0"/>
      <w:marTop w:val="0"/>
      <w:marBottom w:val="0"/>
      <w:divBdr>
        <w:top w:val="none" w:sz="0" w:space="0" w:color="auto"/>
        <w:left w:val="none" w:sz="0" w:space="0" w:color="auto"/>
        <w:bottom w:val="none" w:sz="0" w:space="0" w:color="auto"/>
        <w:right w:val="none" w:sz="0" w:space="0" w:color="auto"/>
      </w:divBdr>
    </w:div>
    <w:div w:id="2124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817DE17C</Template>
  <TotalTime>0</TotalTime>
  <Pages>2</Pages>
  <Words>1227</Words>
  <Characters>6999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Rajeski, Tyler</dc:creator>
  <cp:lastModifiedBy>Rajeski, Tyler</cp:lastModifiedBy>
  <cp:revision>2</cp:revision>
  <dcterms:created xsi:type="dcterms:W3CDTF">2015-04-14T11:55:00Z</dcterms:created>
  <dcterms:modified xsi:type="dcterms:W3CDTF">2015-04-14T11:55:00Z</dcterms:modified>
</cp:coreProperties>
</file>