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4E" w:rsidRPr="00953FF8" w:rsidRDefault="002E5AC1" w:rsidP="00F95E4E">
      <w:pPr>
        <w:rPr>
          <w:rFonts w:ascii="Garamond" w:eastAsia="Arial" w:hAnsi="Garamond" w:cs="Times New Roman"/>
          <w:b/>
          <w:color w:val="0A6345"/>
          <w:sz w:val="32"/>
          <w:szCs w:val="32"/>
        </w:rPr>
      </w:pPr>
      <w:bookmarkStart w:id="0" w:name="_GoBack"/>
      <w:bookmarkEnd w:id="0"/>
      <w:r w:rsidRPr="00953FF8">
        <w:rPr>
          <w:rFonts w:ascii="Garamond" w:eastAsia="Arial" w:hAnsi="Garamond" w:cs="Times New Roman"/>
          <w:b/>
          <w:color w:val="0A6345"/>
          <w:sz w:val="32"/>
          <w:szCs w:val="32"/>
        </w:rPr>
        <w:t>Macroeconomic</w:t>
      </w:r>
      <w:r w:rsidRPr="00953FF8">
        <w:rPr>
          <w:rFonts w:ascii="Garamond" w:hAnsi="Garamond"/>
          <w:sz w:val="32"/>
          <w:szCs w:val="32"/>
        </w:rPr>
        <w:t xml:space="preserve"> </w:t>
      </w:r>
      <w:r w:rsidRPr="00953FF8">
        <w:rPr>
          <w:rFonts w:ascii="Garamond" w:eastAsia="Arial" w:hAnsi="Garamond" w:cs="Times New Roman"/>
          <w:b/>
          <w:color w:val="0A6345"/>
          <w:sz w:val="32"/>
          <w:szCs w:val="32"/>
        </w:rPr>
        <w:t>Overview</w:t>
      </w:r>
      <w:r w:rsidR="00E57C97">
        <w:rPr>
          <w:rFonts w:ascii="Garamond" w:hAnsi="Garamond"/>
          <w:sz w:val="32"/>
          <w:szCs w:val="32"/>
        </w:rPr>
        <w:pict>
          <v:rect id="_x0000_i1025" style="width:468pt;height:1pt" o:hralign="center" o:hrstd="t" o:hrnoshade="t" o:hr="t" fillcolor="#ffc000" stroked="f"/>
        </w:pict>
      </w:r>
    </w:p>
    <w:tbl>
      <w:tblPr>
        <w:tblpPr w:leftFromText="180" w:rightFromText="180" w:vertAnchor="text" w:horzAnchor="margin" w:tblpX="108" w:tblpY="2943"/>
        <w:tblW w:w="0" w:type="auto"/>
        <w:tblLayout w:type="fixed"/>
        <w:tblLook w:val="04A0" w:firstRow="1" w:lastRow="0" w:firstColumn="1" w:lastColumn="0" w:noHBand="0" w:noVBand="1"/>
      </w:tblPr>
      <w:tblGrid>
        <w:gridCol w:w="2178"/>
        <w:gridCol w:w="1980"/>
        <w:gridCol w:w="1890"/>
      </w:tblGrid>
      <w:tr w:rsidR="00AE6E2D" w:rsidRPr="000A6DE6" w:rsidTr="002233C1">
        <w:trPr>
          <w:trHeight w:val="315"/>
        </w:trPr>
        <w:tc>
          <w:tcPr>
            <w:tcW w:w="2178" w:type="dxa"/>
            <w:tcBorders>
              <w:top w:val="single" w:sz="4" w:space="0" w:color="auto"/>
              <w:left w:val="single" w:sz="4" w:space="0" w:color="auto"/>
              <w:bottom w:val="nil"/>
              <w:right w:val="nil"/>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b/>
                <w:bCs/>
                <w:color w:val="FFFFFF"/>
              </w:rPr>
            </w:pPr>
            <w:r w:rsidRPr="000A6DE6">
              <w:rPr>
                <w:rFonts w:ascii="Garamond" w:eastAsia="Times New Roman" w:hAnsi="Garamond" w:cs="Times New Roman"/>
                <w:b/>
                <w:bCs/>
                <w:color w:val="FFFFFF"/>
              </w:rPr>
              <w:t>U.S. Stocks</w:t>
            </w:r>
          </w:p>
        </w:tc>
        <w:tc>
          <w:tcPr>
            <w:tcW w:w="1980" w:type="dxa"/>
            <w:tcBorders>
              <w:top w:val="single" w:sz="4" w:space="0" w:color="auto"/>
              <w:left w:val="nil"/>
              <w:bottom w:val="single" w:sz="4" w:space="0" w:color="auto"/>
              <w:right w:val="nil"/>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c>
          <w:tcPr>
            <w:tcW w:w="1890" w:type="dxa"/>
            <w:tcBorders>
              <w:top w:val="single" w:sz="4" w:space="0" w:color="auto"/>
              <w:left w:val="nil"/>
              <w:bottom w:val="nil"/>
              <w:right w:val="single" w:sz="4" w:space="0" w:color="auto"/>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r>
      <w:tr w:rsidR="00AE6E2D" w:rsidRPr="000A6DE6" w:rsidTr="002233C1">
        <w:trPr>
          <w:trHeight w:val="398"/>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40" w:lineRule="auto"/>
              <w:rPr>
                <w:rFonts w:ascii="Garamond" w:eastAsia="Times New Roman" w:hAnsi="Garamond" w:cs="Times New Roman"/>
                <w:b/>
                <w:bCs/>
                <w:color w:val="000000"/>
              </w:rPr>
            </w:pPr>
            <w:r w:rsidRPr="000A6DE6">
              <w:rPr>
                <w:rFonts w:ascii="Garamond" w:eastAsia="Times New Roman" w:hAnsi="Garamond" w:cs="Times New Roman"/>
                <w:b/>
                <w:bCs/>
                <w:color w:val="000000"/>
              </w:rPr>
              <w:t>Index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Week-to-Date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AE6E2D" w:rsidRPr="000A6DE6" w:rsidRDefault="00AE6E2D" w:rsidP="00460A2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Year-to-Date</w:t>
            </w:r>
          </w:p>
        </w:tc>
      </w:tr>
      <w:tr w:rsidR="00AE6E2D" w:rsidRPr="000A6DE6" w:rsidTr="002233C1">
        <w:trPr>
          <w:trHeight w:val="353"/>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DJIA</w:t>
            </w:r>
          </w:p>
        </w:tc>
        <w:tc>
          <w:tcPr>
            <w:tcW w:w="1980" w:type="dxa"/>
            <w:tcBorders>
              <w:top w:val="nil"/>
              <w:left w:val="single" w:sz="4" w:space="0" w:color="auto"/>
              <w:bottom w:val="nil"/>
              <w:right w:val="single" w:sz="4" w:space="0" w:color="auto"/>
            </w:tcBorders>
            <w:shd w:val="clear" w:color="auto" w:fill="auto"/>
            <w:noWrap/>
            <w:vAlign w:val="bottom"/>
            <w:hideMark/>
          </w:tcPr>
          <w:p w:rsidR="00AE6E2D" w:rsidRPr="000A6DE6" w:rsidRDefault="00447551"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-1.28</w:t>
            </w:r>
            <w:r w:rsidR="00AE6E2D"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AE6E2D" w:rsidRPr="000A6DE6" w:rsidRDefault="00447551" w:rsidP="000521D3">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0.02</w:t>
            </w:r>
            <w:r w:rsidR="00AE6E2D" w:rsidRPr="000A6DE6">
              <w:rPr>
                <w:rFonts w:ascii="Garamond" w:eastAsia="Times New Roman" w:hAnsi="Garamond" w:cs="Times New Roman"/>
                <w:color w:val="000000"/>
              </w:rPr>
              <w:t>%</w:t>
            </w:r>
          </w:p>
        </w:tc>
      </w:tr>
      <w:tr w:rsidR="00AE6E2D" w:rsidRPr="000A6DE6" w:rsidTr="002233C1">
        <w:trPr>
          <w:trHeight w:val="345"/>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S&amp;P 500</w:t>
            </w:r>
          </w:p>
        </w:tc>
        <w:tc>
          <w:tcPr>
            <w:tcW w:w="1980" w:type="dxa"/>
            <w:tcBorders>
              <w:top w:val="nil"/>
              <w:left w:val="single" w:sz="4" w:space="0" w:color="auto"/>
              <w:bottom w:val="nil"/>
              <w:right w:val="single" w:sz="4" w:space="0" w:color="auto"/>
            </w:tcBorders>
            <w:shd w:val="clear" w:color="auto" w:fill="auto"/>
            <w:noWrap/>
            <w:vAlign w:val="bottom"/>
            <w:hideMark/>
          </w:tcPr>
          <w:p w:rsidR="00AE6E2D" w:rsidRPr="000A6DE6" w:rsidRDefault="00447551"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-0.99</w:t>
            </w:r>
            <w:r w:rsidR="00AE6E2D"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AE6E2D" w:rsidRPr="000A6DE6" w:rsidRDefault="00447551"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1.08</w:t>
            </w:r>
            <w:r w:rsidR="00AE6E2D" w:rsidRPr="000A6DE6">
              <w:rPr>
                <w:rFonts w:ascii="Garamond" w:eastAsia="Times New Roman" w:hAnsi="Garamond" w:cs="Times New Roman"/>
                <w:color w:val="000000"/>
              </w:rPr>
              <w:t>%</w:t>
            </w:r>
          </w:p>
        </w:tc>
      </w:tr>
      <w:tr w:rsidR="00AE6E2D" w:rsidRPr="000A6DE6" w:rsidTr="002233C1">
        <w:trPr>
          <w:trHeight w:val="363"/>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NASDAQ Composite</w:t>
            </w:r>
          </w:p>
        </w:tc>
        <w:tc>
          <w:tcPr>
            <w:tcW w:w="1980" w:type="dxa"/>
            <w:tcBorders>
              <w:top w:val="nil"/>
              <w:left w:val="single" w:sz="4" w:space="0" w:color="auto"/>
              <w:bottom w:val="nil"/>
              <w:right w:val="single" w:sz="4" w:space="0" w:color="auto"/>
            </w:tcBorders>
            <w:shd w:val="clear" w:color="auto" w:fill="auto"/>
            <w:noWrap/>
            <w:vAlign w:val="bottom"/>
            <w:hideMark/>
          </w:tcPr>
          <w:p w:rsidR="00AE6E2D" w:rsidRPr="000A6DE6" w:rsidRDefault="00447551" w:rsidP="00756F06">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-1.28</w:t>
            </w:r>
            <w:r w:rsidR="00AE6E2D"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AE6E2D" w:rsidRPr="000A6DE6" w:rsidRDefault="00447551" w:rsidP="003E029D">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4.13</w:t>
            </w:r>
            <w:r w:rsidR="00AE6E2D" w:rsidRPr="000A6DE6">
              <w:rPr>
                <w:rFonts w:ascii="Garamond" w:eastAsia="Times New Roman" w:hAnsi="Garamond" w:cs="Times New Roman"/>
                <w:color w:val="000000"/>
              </w:rPr>
              <w:t>%</w:t>
            </w:r>
          </w:p>
        </w:tc>
      </w:tr>
      <w:tr w:rsidR="00AE6E2D" w:rsidRPr="000A6DE6" w:rsidTr="002233C1">
        <w:trPr>
          <w:trHeight w:val="363"/>
        </w:trPr>
        <w:tc>
          <w:tcPr>
            <w:tcW w:w="2178" w:type="dxa"/>
            <w:tcBorders>
              <w:top w:val="nil"/>
              <w:left w:val="single" w:sz="4" w:space="0" w:color="auto"/>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Russell 2000</w:t>
            </w:r>
          </w:p>
        </w:tc>
        <w:tc>
          <w:tcPr>
            <w:tcW w:w="1980" w:type="dxa"/>
            <w:tcBorders>
              <w:top w:val="nil"/>
              <w:left w:val="single" w:sz="4" w:space="0" w:color="auto"/>
              <w:right w:val="single" w:sz="4" w:space="0" w:color="auto"/>
            </w:tcBorders>
            <w:shd w:val="clear" w:color="auto" w:fill="auto"/>
            <w:noWrap/>
            <w:vAlign w:val="bottom"/>
            <w:hideMark/>
          </w:tcPr>
          <w:p w:rsidR="00AE6E2D" w:rsidRPr="000A6DE6" w:rsidRDefault="00447551" w:rsidP="00756F06">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-1.02</w:t>
            </w:r>
            <w:r w:rsidR="00AE6E2D" w:rsidRPr="000A6DE6">
              <w:rPr>
                <w:rFonts w:ascii="Garamond" w:eastAsia="Times New Roman" w:hAnsi="Garamond" w:cs="Times New Roman"/>
                <w:color w:val="000000"/>
              </w:rPr>
              <w:t>%</w:t>
            </w:r>
          </w:p>
        </w:tc>
        <w:tc>
          <w:tcPr>
            <w:tcW w:w="1890" w:type="dxa"/>
            <w:tcBorders>
              <w:top w:val="nil"/>
              <w:left w:val="nil"/>
              <w:right w:val="single" w:sz="4" w:space="0" w:color="auto"/>
            </w:tcBorders>
            <w:shd w:val="clear" w:color="auto" w:fill="auto"/>
            <w:noWrap/>
            <w:vAlign w:val="bottom"/>
            <w:hideMark/>
          </w:tcPr>
          <w:p w:rsidR="00AE6E2D" w:rsidRPr="000A6DE6" w:rsidRDefault="00447551"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3.91</w:t>
            </w:r>
            <w:r w:rsidR="00AE6E2D" w:rsidRPr="000A6DE6">
              <w:rPr>
                <w:rFonts w:ascii="Garamond" w:eastAsia="Times New Roman" w:hAnsi="Garamond" w:cs="Times New Roman"/>
                <w:color w:val="000000"/>
              </w:rPr>
              <w:t>%</w:t>
            </w:r>
          </w:p>
        </w:tc>
      </w:tr>
      <w:tr w:rsidR="00AE6E2D" w:rsidRPr="000A6DE6" w:rsidTr="002233C1">
        <w:trPr>
          <w:trHeight w:val="30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VIX</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E2D" w:rsidRPr="000A6DE6" w:rsidRDefault="00447551" w:rsidP="0058349C">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10.41</w:t>
            </w:r>
            <w:r w:rsidR="00AE6E2D" w:rsidRPr="000A6DE6">
              <w:rPr>
                <w:rFonts w:ascii="Garamond" w:eastAsia="Times New Roman" w:hAnsi="Garamond" w:cs="Times New Roman"/>
                <w:color w:val="000000"/>
              </w:rPr>
              <w:t>%</w:t>
            </w:r>
          </w:p>
        </w:tc>
        <w:tc>
          <w:tcPr>
            <w:tcW w:w="1890" w:type="dxa"/>
            <w:tcBorders>
              <w:top w:val="nil"/>
              <w:left w:val="nil"/>
              <w:bottom w:val="single" w:sz="4" w:space="0" w:color="auto"/>
              <w:right w:val="single" w:sz="4" w:space="0" w:color="auto"/>
            </w:tcBorders>
            <w:shd w:val="clear" w:color="auto" w:fill="auto"/>
            <w:noWrap/>
            <w:vAlign w:val="bottom"/>
            <w:hideMark/>
          </w:tcPr>
          <w:p w:rsidR="00AE6E2D" w:rsidRPr="000A6DE6" w:rsidRDefault="00447551" w:rsidP="00282257">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-27.66</w:t>
            </w:r>
            <w:r w:rsidR="00AE6E2D" w:rsidRPr="000A6DE6">
              <w:rPr>
                <w:rFonts w:ascii="Garamond" w:eastAsia="Times New Roman" w:hAnsi="Garamond" w:cs="Times New Roman"/>
                <w:color w:val="000000"/>
              </w:rPr>
              <w:t>%</w:t>
            </w:r>
          </w:p>
        </w:tc>
      </w:tr>
    </w:tbl>
    <w:p w:rsidR="00926DA1" w:rsidRPr="000A6DE6" w:rsidRDefault="00282257" w:rsidP="00926DA1">
      <w:pPr>
        <w:contextualSpacing/>
        <w:jc w:val="both"/>
        <w:rPr>
          <w:rFonts w:ascii="Garamond" w:hAnsi="Garamond"/>
        </w:rPr>
      </w:pPr>
      <w:r>
        <w:rPr>
          <w:rFonts w:ascii="Garamond" w:hAnsi="Garamond"/>
        </w:rPr>
        <w:t>During t</w:t>
      </w:r>
      <w:r w:rsidR="00F95E4E" w:rsidRPr="000A6DE6">
        <w:rPr>
          <w:rFonts w:ascii="Garamond" w:hAnsi="Garamond"/>
        </w:rPr>
        <w:t xml:space="preserve">his past </w:t>
      </w:r>
      <w:r>
        <w:rPr>
          <w:rFonts w:ascii="Garamond" w:hAnsi="Garamond"/>
        </w:rPr>
        <w:t xml:space="preserve">trading </w:t>
      </w:r>
      <w:r w:rsidR="00F95E4E" w:rsidRPr="000A6DE6">
        <w:rPr>
          <w:rFonts w:ascii="Garamond" w:hAnsi="Garamond"/>
        </w:rPr>
        <w:t>week,</w:t>
      </w:r>
      <w:r w:rsidR="00E77FF4" w:rsidRPr="000A6DE6">
        <w:rPr>
          <w:rFonts w:ascii="Garamond" w:hAnsi="Garamond"/>
        </w:rPr>
        <w:t xml:space="preserve"> </w:t>
      </w:r>
      <w:r w:rsidR="0058349C">
        <w:rPr>
          <w:rFonts w:ascii="Garamond" w:hAnsi="Garamond"/>
        </w:rPr>
        <w:t xml:space="preserve">all </w:t>
      </w:r>
      <w:r w:rsidR="00E77FF4" w:rsidRPr="000A6DE6">
        <w:rPr>
          <w:rFonts w:ascii="Garamond" w:hAnsi="Garamond"/>
        </w:rPr>
        <w:t xml:space="preserve">major U.S. indices </w:t>
      </w:r>
      <w:r w:rsidR="00447551">
        <w:rPr>
          <w:rFonts w:ascii="Garamond" w:hAnsi="Garamond"/>
        </w:rPr>
        <w:t>de</w:t>
      </w:r>
      <w:r w:rsidR="0058349C">
        <w:rPr>
          <w:rFonts w:ascii="Garamond" w:hAnsi="Garamond"/>
        </w:rPr>
        <w:t>creased on a weekly basis</w:t>
      </w:r>
      <w:r w:rsidR="00447551">
        <w:rPr>
          <w:rFonts w:ascii="Garamond" w:hAnsi="Garamond"/>
        </w:rPr>
        <w:t>. After showing gains during the start of the week</w:t>
      </w:r>
      <w:r w:rsidR="004B22EF">
        <w:rPr>
          <w:rFonts w:ascii="Garamond" w:hAnsi="Garamond"/>
        </w:rPr>
        <w:t>,</w:t>
      </w:r>
      <w:r w:rsidR="00447551">
        <w:rPr>
          <w:rFonts w:ascii="Garamond" w:hAnsi="Garamond"/>
        </w:rPr>
        <w:t xml:space="preserve"> negative news from overseas caused sharp declines on Friday</w:t>
      </w:r>
      <w:r w:rsidR="004B22EF">
        <w:rPr>
          <w:rFonts w:ascii="Garamond" w:hAnsi="Garamond"/>
        </w:rPr>
        <w:t>.</w:t>
      </w:r>
      <w:r w:rsidR="00310057">
        <w:rPr>
          <w:rFonts w:ascii="Garamond" w:hAnsi="Garamond"/>
        </w:rPr>
        <w:t xml:space="preserve"> </w:t>
      </w:r>
      <w:r w:rsidR="00F95E4E" w:rsidRPr="000A6DE6">
        <w:rPr>
          <w:rFonts w:ascii="Garamond" w:hAnsi="Garamond"/>
        </w:rPr>
        <w:t xml:space="preserve">In effect, the Dow Jones Industrial Average and the NASDAQ Composite </w:t>
      </w:r>
      <w:r w:rsidR="004B22EF">
        <w:rPr>
          <w:rFonts w:ascii="Garamond" w:hAnsi="Garamond"/>
        </w:rPr>
        <w:t>de</w:t>
      </w:r>
      <w:r w:rsidR="0058349C">
        <w:rPr>
          <w:rFonts w:ascii="Garamond" w:hAnsi="Garamond"/>
        </w:rPr>
        <w:t>creased</w:t>
      </w:r>
      <w:r w:rsidR="00EF1EF1">
        <w:rPr>
          <w:rFonts w:ascii="Garamond" w:hAnsi="Garamond"/>
        </w:rPr>
        <w:t xml:space="preserve"> on a weekly basis </w:t>
      </w:r>
      <w:r w:rsidR="0058349C">
        <w:rPr>
          <w:rFonts w:ascii="Garamond" w:hAnsi="Garamond"/>
        </w:rPr>
        <w:t>by</w:t>
      </w:r>
      <w:r w:rsidR="00F95E4E" w:rsidRPr="000A6DE6">
        <w:rPr>
          <w:rFonts w:ascii="Garamond" w:hAnsi="Garamond"/>
        </w:rPr>
        <w:t xml:space="preserve"> </w:t>
      </w:r>
      <w:r w:rsidR="004B22EF">
        <w:rPr>
          <w:rFonts w:ascii="Garamond" w:hAnsi="Garamond"/>
        </w:rPr>
        <w:t>1.28</w:t>
      </w:r>
      <w:r w:rsidR="0073094F">
        <w:rPr>
          <w:rFonts w:ascii="Garamond" w:hAnsi="Garamond"/>
        </w:rPr>
        <w:t>%</w:t>
      </w:r>
      <w:r w:rsidR="0094546A" w:rsidRPr="000A6DE6">
        <w:rPr>
          <w:rFonts w:ascii="Garamond" w:hAnsi="Garamond"/>
        </w:rPr>
        <w:t>,</w:t>
      </w:r>
      <w:r w:rsidR="00F95E4E" w:rsidRPr="000A6DE6">
        <w:rPr>
          <w:rFonts w:ascii="Garamond" w:hAnsi="Garamond"/>
        </w:rPr>
        <w:t xml:space="preserve"> while the </w:t>
      </w:r>
      <w:r w:rsidR="0094546A" w:rsidRPr="000A6DE6">
        <w:rPr>
          <w:rFonts w:ascii="Garamond" w:hAnsi="Garamond"/>
        </w:rPr>
        <w:t xml:space="preserve">S&amp;P 500 </w:t>
      </w:r>
      <w:r w:rsidR="004B22EF">
        <w:rPr>
          <w:rFonts w:ascii="Garamond" w:hAnsi="Garamond"/>
        </w:rPr>
        <w:t>declined by</w:t>
      </w:r>
      <w:r w:rsidR="0094546A" w:rsidRPr="000A6DE6">
        <w:rPr>
          <w:rFonts w:ascii="Garamond" w:hAnsi="Garamond"/>
        </w:rPr>
        <w:t xml:space="preserve"> </w:t>
      </w:r>
      <w:r w:rsidR="004B22EF">
        <w:rPr>
          <w:rFonts w:ascii="Garamond" w:hAnsi="Garamond"/>
        </w:rPr>
        <w:t>0.99</w:t>
      </w:r>
      <w:r w:rsidR="0094546A" w:rsidRPr="000A6DE6">
        <w:rPr>
          <w:rFonts w:ascii="Garamond" w:hAnsi="Garamond"/>
        </w:rPr>
        <w:t xml:space="preserve">% during the last week. Small cap stocks measured by the Russell 2000 index </w:t>
      </w:r>
      <w:r w:rsidR="004B22EF">
        <w:rPr>
          <w:rFonts w:ascii="Garamond" w:hAnsi="Garamond"/>
        </w:rPr>
        <w:t xml:space="preserve">also </w:t>
      </w:r>
      <w:r w:rsidR="00F74791">
        <w:rPr>
          <w:rFonts w:ascii="Garamond" w:hAnsi="Garamond"/>
        </w:rPr>
        <w:t xml:space="preserve">experienced </w:t>
      </w:r>
      <w:r w:rsidR="004B22EF">
        <w:rPr>
          <w:rFonts w:ascii="Garamond" w:hAnsi="Garamond"/>
        </w:rPr>
        <w:t>declines</w:t>
      </w:r>
      <w:r w:rsidR="00F74791">
        <w:rPr>
          <w:rFonts w:ascii="Garamond" w:hAnsi="Garamond"/>
        </w:rPr>
        <w:t>, yielding</w:t>
      </w:r>
      <w:r w:rsidR="0094546A" w:rsidRPr="000A6DE6">
        <w:rPr>
          <w:rFonts w:ascii="Garamond" w:hAnsi="Garamond"/>
        </w:rPr>
        <w:t xml:space="preserve"> </w:t>
      </w:r>
      <w:r w:rsidR="004B22EF">
        <w:rPr>
          <w:rFonts w:ascii="Garamond" w:hAnsi="Garamond"/>
        </w:rPr>
        <w:t>-1.02</w:t>
      </w:r>
      <w:r w:rsidR="0094546A" w:rsidRPr="000A6DE6">
        <w:rPr>
          <w:rFonts w:ascii="Garamond" w:hAnsi="Garamond"/>
        </w:rPr>
        <w:t>%</w:t>
      </w:r>
      <w:r w:rsidR="00992714">
        <w:rPr>
          <w:rFonts w:ascii="Garamond" w:hAnsi="Garamond"/>
        </w:rPr>
        <w:t xml:space="preserve"> throughout the week</w:t>
      </w:r>
      <w:r w:rsidR="0094546A" w:rsidRPr="000A6DE6">
        <w:rPr>
          <w:rFonts w:ascii="Garamond" w:hAnsi="Garamond"/>
        </w:rPr>
        <w:t xml:space="preserve">. </w:t>
      </w:r>
      <w:r w:rsidR="00526CCE" w:rsidRPr="000A6DE6">
        <w:rPr>
          <w:rFonts w:ascii="Garamond" w:hAnsi="Garamond"/>
        </w:rPr>
        <w:t xml:space="preserve">The VIX week-to-date change of </w:t>
      </w:r>
      <w:r w:rsidR="004B22EF">
        <w:rPr>
          <w:rFonts w:ascii="Garamond" w:hAnsi="Garamond"/>
        </w:rPr>
        <w:t>10.41</w:t>
      </w:r>
      <w:r w:rsidR="00526CCE" w:rsidRPr="000A6DE6">
        <w:rPr>
          <w:rFonts w:ascii="Garamond" w:hAnsi="Garamond"/>
        </w:rPr>
        <w:t>% indicates that volatility levels</w:t>
      </w:r>
      <w:r w:rsidR="00AC1B73">
        <w:rPr>
          <w:rFonts w:ascii="Garamond" w:hAnsi="Garamond"/>
        </w:rPr>
        <w:t xml:space="preserve"> </w:t>
      </w:r>
      <w:r w:rsidR="004B22EF">
        <w:rPr>
          <w:rFonts w:ascii="Garamond" w:hAnsi="Garamond"/>
        </w:rPr>
        <w:t>start to increase again</w:t>
      </w:r>
      <w:r w:rsidR="00992714">
        <w:rPr>
          <w:rFonts w:ascii="Garamond" w:hAnsi="Garamond"/>
        </w:rPr>
        <w:t>,</w:t>
      </w:r>
      <w:r w:rsidR="001C0C02">
        <w:rPr>
          <w:rFonts w:ascii="Garamond" w:hAnsi="Garamond"/>
        </w:rPr>
        <w:t xml:space="preserve"> leading to a year-to-date change of -</w:t>
      </w:r>
      <w:r w:rsidR="00F74791">
        <w:rPr>
          <w:rFonts w:ascii="Garamond" w:hAnsi="Garamond"/>
        </w:rPr>
        <w:t>2</w:t>
      </w:r>
      <w:r w:rsidR="004B22EF">
        <w:rPr>
          <w:rFonts w:ascii="Garamond" w:hAnsi="Garamond"/>
        </w:rPr>
        <w:t>7.66</w:t>
      </w:r>
      <w:r w:rsidR="001C0C02">
        <w:rPr>
          <w:rFonts w:ascii="Garamond" w:hAnsi="Garamond"/>
        </w:rPr>
        <w:t xml:space="preserve">%. </w:t>
      </w:r>
      <w:proofErr w:type="gramStart"/>
      <w:r w:rsidR="00534791">
        <w:rPr>
          <w:rFonts w:ascii="Garamond" w:hAnsi="Garamond"/>
        </w:rPr>
        <w:t>The yield of</w:t>
      </w:r>
      <w:r w:rsidR="003654A1" w:rsidRPr="000A6DE6">
        <w:rPr>
          <w:rFonts w:ascii="Garamond" w:hAnsi="Garamond"/>
        </w:rPr>
        <w:t xml:space="preserve"> the</w:t>
      </w:r>
      <w:r w:rsidR="00526CCE" w:rsidRPr="000A6DE6">
        <w:rPr>
          <w:rFonts w:ascii="Garamond" w:hAnsi="Garamond"/>
        </w:rPr>
        <w:t xml:space="preserve"> 10</w:t>
      </w:r>
      <w:r w:rsidR="003654A1" w:rsidRPr="000A6DE6">
        <w:rPr>
          <w:rFonts w:ascii="Garamond" w:hAnsi="Garamond"/>
        </w:rPr>
        <w:t>-</w:t>
      </w:r>
      <w:r w:rsidR="00526CCE" w:rsidRPr="000A6DE6">
        <w:rPr>
          <w:rFonts w:ascii="Garamond" w:hAnsi="Garamond"/>
        </w:rPr>
        <w:t xml:space="preserve">year </w:t>
      </w:r>
      <w:r w:rsidR="003654A1" w:rsidRPr="000A6DE6">
        <w:rPr>
          <w:rFonts w:ascii="Garamond" w:hAnsi="Garamond"/>
        </w:rPr>
        <w:t>U.S. T-n</w:t>
      </w:r>
      <w:r w:rsidR="00526CCE" w:rsidRPr="000A6DE6">
        <w:rPr>
          <w:rFonts w:ascii="Garamond" w:hAnsi="Garamond"/>
        </w:rPr>
        <w:t>ote</w:t>
      </w:r>
      <w:r w:rsidR="003654A1" w:rsidRPr="000A6DE6">
        <w:rPr>
          <w:rFonts w:ascii="Garamond" w:hAnsi="Garamond"/>
        </w:rPr>
        <w:t xml:space="preserve"> </w:t>
      </w:r>
      <w:r w:rsidR="004B22EF">
        <w:rPr>
          <w:rFonts w:ascii="Garamond" w:hAnsi="Garamond"/>
        </w:rPr>
        <w:t>de</w:t>
      </w:r>
      <w:r w:rsidR="008A489D">
        <w:rPr>
          <w:rFonts w:ascii="Garamond" w:hAnsi="Garamond"/>
        </w:rPr>
        <w:t>creased</w:t>
      </w:r>
      <w:r w:rsidR="003654A1" w:rsidRPr="000A6DE6">
        <w:rPr>
          <w:rFonts w:ascii="Garamond" w:hAnsi="Garamond"/>
        </w:rPr>
        <w:t xml:space="preserve"> by </w:t>
      </w:r>
      <w:r w:rsidR="004B22EF">
        <w:rPr>
          <w:rFonts w:ascii="Garamond" w:hAnsi="Garamond"/>
        </w:rPr>
        <w:t>9</w:t>
      </w:r>
      <w:r w:rsidR="003654A1" w:rsidRPr="000A6DE6">
        <w:rPr>
          <w:rFonts w:ascii="Garamond" w:hAnsi="Garamond"/>
        </w:rPr>
        <w:t xml:space="preserve"> basis points</w:t>
      </w:r>
      <w:r w:rsidR="008A489D">
        <w:rPr>
          <w:rFonts w:ascii="Garamond" w:hAnsi="Garamond"/>
        </w:rPr>
        <w:t xml:space="preserve"> </w:t>
      </w:r>
      <w:r w:rsidR="003654A1" w:rsidRPr="000A6DE6">
        <w:rPr>
          <w:rFonts w:ascii="Garamond" w:hAnsi="Garamond"/>
        </w:rPr>
        <w:t xml:space="preserve">to </w:t>
      </w:r>
      <w:r w:rsidR="00D84FBB">
        <w:rPr>
          <w:rFonts w:ascii="Garamond" w:hAnsi="Garamond"/>
        </w:rPr>
        <w:t>1.</w:t>
      </w:r>
      <w:r w:rsidR="004B22EF">
        <w:rPr>
          <w:rFonts w:ascii="Garamond" w:hAnsi="Garamond"/>
        </w:rPr>
        <w:t>87</w:t>
      </w:r>
      <w:r w:rsidR="00836878">
        <w:rPr>
          <w:rFonts w:ascii="Garamond" w:hAnsi="Garamond"/>
        </w:rPr>
        <w:t>%</w:t>
      </w:r>
      <w:r w:rsidR="00526CCE" w:rsidRPr="000A6DE6">
        <w:rPr>
          <w:rFonts w:ascii="Garamond" w:hAnsi="Garamond"/>
        </w:rPr>
        <w:t>.</w:t>
      </w:r>
      <w:proofErr w:type="gramEnd"/>
      <w:r w:rsidR="00526CCE" w:rsidRPr="000A6DE6">
        <w:rPr>
          <w:rFonts w:ascii="Garamond" w:hAnsi="Garamond"/>
        </w:rPr>
        <w:t xml:space="preserve"> </w:t>
      </w:r>
      <w:r w:rsidR="003654A1" w:rsidRPr="000A6DE6">
        <w:rPr>
          <w:rFonts w:ascii="Garamond" w:hAnsi="Garamond"/>
        </w:rPr>
        <w:t>In addition,</w:t>
      </w:r>
      <w:r w:rsidR="00526CCE" w:rsidRPr="000A6DE6">
        <w:rPr>
          <w:rFonts w:ascii="Garamond" w:hAnsi="Garamond"/>
        </w:rPr>
        <w:t xml:space="preserve"> </w:t>
      </w:r>
      <w:r w:rsidR="00745500">
        <w:rPr>
          <w:rFonts w:ascii="Garamond" w:hAnsi="Garamond"/>
        </w:rPr>
        <w:t xml:space="preserve">the price of </w:t>
      </w:r>
      <w:r w:rsidR="00526CCE" w:rsidRPr="000A6DE6">
        <w:rPr>
          <w:rFonts w:ascii="Garamond" w:hAnsi="Garamond"/>
        </w:rPr>
        <w:t xml:space="preserve">oil </w:t>
      </w:r>
      <w:r w:rsidR="008A489D">
        <w:rPr>
          <w:rFonts w:ascii="Garamond" w:hAnsi="Garamond"/>
        </w:rPr>
        <w:t>in</w:t>
      </w:r>
      <w:r w:rsidR="00992714">
        <w:rPr>
          <w:rFonts w:ascii="Garamond" w:hAnsi="Garamond"/>
        </w:rPr>
        <w:t>creased</w:t>
      </w:r>
      <w:r w:rsidR="003C2C57">
        <w:rPr>
          <w:rFonts w:ascii="Garamond" w:hAnsi="Garamond"/>
        </w:rPr>
        <w:t xml:space="preserve"> throughout the week</w:t>
      </w:r>
      <w:r w:rsidR="003E4F58">
        <w:rPr>
          <w:rFonts w:ascii="Garamond" w:hAnsi="Garamond"/>
        </w:rPr>
        <w:t xml:space="preserve"> </w:t>
      </w:r>
      <w:r w:rsidR="003C2C57">
        <w:rPr>
          <w:rFonts w:ascii="Garamond" w:hAnsi="Garamond"/>
        </w:rPr>
        <w:t xml:space="preserve">by </w:t>
      </w:r>
      <w:r w:rsidR="00540ED4">
        <w:rPr>
          <w:rFonts w:ascii="Garamond" w:hAnsi="Garamond"/>
        </w:rPr>
        <w:t>2.01</w:t>
      </w:r>
      <w:r w:rsidR="003C2C57">
        <w:rPr>
          <w:rFonts w:ascii="Garamond" w:hAnsi="Garamond"/>
        </w:rPr>
        <w:t xml:space="preserve">% </w:t>
      </w:r>
      <w:r w:rsidR="003E4F58">
        <w:rPr>
          <w:rFonts w:ascii="Garamond" w:hAnsi="Garamond"/>
        </w:rPr>
        <w:t xml:space="preserve">to </w:t>
      </w:r>
      <w:r w:rsidR="00712DDA" w:rsidRPr="000A6DE6">
        <w:rPr>
          <w:rFonts w:ascii="Garamond" w:hAnsi="Garamond"/>
        </w:rPr>
        <w:t>a price</w:t>
      </w:r>
      <w:r w:rsidR="003654A1" w:rsidRPr="000A6DE6">
        <w:rPr>
          <w:rFonts w:ascii="Garamond" w:hAnsi="Garamond"/>
        </w:rPr>
        <w:t xml:space="preserve"> of $</w:t>
      </w:r>
      <w:r w:rsidR="00540ED4">
        <w:rPr>
          <w:rFonts w:ascii="Garamond" w:hAnsi="Garamond"/>
        </w:rPr>
        <w:t>55.74</w:t>
      </w:r>
      <w:r w:rsidR="003C2C57">
        <w:rPr>
          <w:rFonts w:ascii="Garamond" w:hAnsi="Garamond"/>
        </w:rPr>
        <w:t>/bbl</w:t>
      </w:r>
      <w:r w:rsidR="003E4F58">
        <w:rPr>
          <w:rFonts w:ascii="Garamond" w:hAnsi="Garamond"/>
        </w:rPr>
        <w:t>.</w:t>
      </w:r>
      <w:r w:rsidR="003F5848">
        <w:rPr>
          <w:rFonts w:ascii="Garamond" w:hAnsi="Garamond"/>
        </w:rPr>
        <w:t xml:space="preserve"> </w:t>
      </w:r>
    </w:p>
    <w:p w:rsidR="00B946FE" w:rsidRDefault="00F6411D" w:rsidP="00540ED4">
      <w:pPr>
        <w:contextualSpacing/>
        <w:jc w:val="both"/>
        <w:rPr>
          <w:rFonts w:ascii="Garamond" w:hAnsi="Garamond"/>
        </w:rPr>
      </w:pPr>
      <w:r w:rsidRPr="000A6DE6">
        <w:rPr>
          <w:rFonts w:ascii="Garamond" w:hAnsi="Garamond"/>
        </w:rPr>
        <w:t xml:space="preserve">This week’s </w:t>
      </w:r>
      <w:r w:rsidR="00F74791">
        <w:rPr>
          <w:rFonts w:ascii="Garamond" w:hAnsi="Garamond"/>
        </w:rPr>
        <w:t>market movements</w:t>
      </w:r>
      <w:r w:rsidRPr="000A6DE6">
        <w:rPr>
          <w:rFonts w:ascii="Garamond" w:hAnsi="Garamond"/>
        </w:rPr>
        <w:t xml:space="preserve"> w</w:t>
      </w:r>
      <w:r w:rsidR="00F74791">
        <w:rPr>
          <w:rFonts w:ascii="Garamond" w:hAnsi="Garamond"/>
        </w:rPr>
        <w:t>ere</w:t>
      </w:r>
      <w:r w:rsidRPr="000A6DE6">
        <w:rPr>
          <w:rFonts w:ascii="Garamond" w:hAnsi="Garamond"/>
        </w:rPr>
        <w:t xml:space="preserve"> primarily driven by </w:t>
      </w:r>
      <w:r w:rsidR="00540ED4">
        <w:rPr>
          <w:rFonts w:ascii="Garamond" w:hAnsi="Garamond"/>
        </w:rPr>
        <w:t>events and news from overseas</w:t>
      </w:r>
      <w:r w:rsidR="007C46B0">
        <w:rPr>
          <w:rFonts w:ascii="Garamond" w:hAnsi="Garamond"/>
        </w:rPr>
        <w:t xml:space="preserve">. </w:t>
      </w:r>
      <w:r w:rsidR="00540ED4">
        <w:rPr>
          <w:rFonts w:ascii="Garamond" w:hAnsi="Garamond"/>
        </w:rPr>
        <w:t>After closing near all-time highs mid-week, all major U.S. indices declined at the end of the week</w:t>
      </w:r>
      <w:r w:rsidR="00E41376">
        <w:rPr>
          <w:rFonts w:ascii="Garamond" w:hAnsi="Garamond"/>
        </w:rPr>
        <w:t xml:space="preserve"> p</w:t>
      </w:r>
      <w:r w:rsidR="00540ED4">
        <w:rPr>
          <w:rFonts w:ascii="Garamond" w:hAnsi="Garamond"/>
        </w:rPr>
        <w:t xml:space="preserve">rimarily due to </w:t>
      </w:r>
      <w:r w:rsidR="00E41376">
        <w:rPr>
          <w:rFonts w:ascii="Garamond" w:hAnsi="Garamond"/>
        </w:rPr>
        <w:t xml:space="preserve">news that Greece might not be able to fulfill their debt obligations, being unable to make scheduled debt payments. This led once again to debates about the likelihood of Greece’s exit from the Eurozone. As a result </w:t>
      </w:r>
      <w:proofErr w:type="gramStart"/>
      <w:r w:rsidR="00E41376">
        <w:rPr>
          <w:rFonts w:ascii="Garamond" w:hAnsi="Garamond"/>
        </w:rPr>
        <w:t>Standard</w:t>
      </w:r>
      <w:proofErr w:type="gramEnd"/>
      <w:r w:rsidR="00E41376">
        <w:rPr>
          <w:rFonts w:ascii="Garamond" w:hAnsi="Garamond"/>
        </w:rPr>
        <w:t xml:space="preserve"> &amp; Poor</w:t>
      </w:r>
      <w:r w:rsidR="00B946FE">
        <w:rPr>
          <w:rFonts w:ascii="Garamond" w:hAnsi="Garamond"/>
        </w:rPr>
        <w:t>’</w:t>
      </w:r>
      <w:r w:rsidR="00E41376">
        <w:rPr>
          <w:rFonts w:ascii="Garamond" w:hAnsi="Garamond"/>
        </w:rPr>
        <w:t>s downgraded Greece’s credit rating to CCC+</w:t>
      </w:r>
      <w:r w:rsidR="00B946FE">
        <w:rPr>
          <w:rFonts w:ascii="Garamond" w:hAnsi="Garamond"/>
        </w:rPr>
        <w:t xml:space="preserve"> with regard to a negative future outlook.</w:t>
      </w:r>
      <w:r w:rsidR="00E41376">
        <w:rPr>
          <w:rFonts w:ascii="Garamond" w:hAnsi="Garamond"/>
        </w:rPr>
        <w:t xml:space="preserve"> In addition to negative news from Europe, the Chinese economy showed signs of weakness again. During the first quarter of 2015 Chinas growth continued to slow down. The country reported GDP growth of 7% on an annual basis which is Chinas slowest growth rate in the past six years. In addition China’s industrial output, retail sales and fixed asset investments slowed down and could not meet expectations. </w:t>
      </w:r>
    </w:p>
    <w:p w:rsidR="00A5625E" w:rsidRDefault="00B946FE" w:rsidP="00540ED4">
      <w:pPr>
        <w:contextualSpacing/>
        <w:jc w:val="both"/>
        <w:rPr>
          <w:rFonts w:ascii="Garamond" w:hAnsi="Garamond"/>
        </w:rPr>
      </w:pPr>
      <w:r>
        <w:rPr>
          <w:rFonts w:ascii="Garamond" w:hAnsi="Garamond"/>
        </w:rPr>
        <w:t xml:space="preserve">Except for a 0.6% decline in industrial output, U.S. economic data for the month of March was generally positive. U.S. retail sales improved by 0.9%, the highest monthly gain in over a year. U.S. housing starts rose 2.2% in March to an annual rate of 926,000 homes. News of a decline in U.S. oil production led to an increase in oil prices throughout the week, driving up the majority of oil and energy stocks. </w:t>
      </w:r>
    </w:p>
    <w:p w:rsidR="00954E84" w:rsidRDefault="00954E84" w:rsidP="00550DBE">
      <w:pPr>
        <w:contextualSpacing/>
        <w:jc w:val="both"/>
        <w:rPr>
          <w:rFonts w:ascii="Garamond" w:hAnsi="Garamond"/>
        </w:rPr>
      </w:pPr>
    </w:p>
    <w:p w:rsidR="004744A3" w:rsidRPr="000A6DE6" w:rsidRDefault="00D73D6E" w:rsidP="00550DBE">
      <w:pPr>
        <w:contextualSpacing/>
        <w:jc w:val="both"/>
        <w:rPr>
          <w:rFonts w:ascii="Garamond" w:hAnsi="Garamond"/>
        </w:rPr>
      </w:pPr>
      <w:r w:rsidRPr="000A6DE6">
        <w:rPr>
          <w:rFonts w:ascii="Garamond" w:hAnsi="Garamond"/>
        </w:rPr>
        <w:t xml:space="preserve">Next week, investors will be looking forward to see data from different economic reports that </w:t>
      </w:r>
      <w:r w:rsidR="0024233C">
        <w:rPr>
          <w:rFonts w:ascii="Garamond" w:hAnsi="Garamond"/>
        </w:rPr>
        <w:t xml:space="preserve">will have an impact on the </w:t>
      </w:r>
      <w:r w:rsidR="00891405">
        <w:rPr>
          <w:rFonts w:ascii="Garamond" w:hAnsi="Garamond"/>
        </w:rPr>
        <w:t xml:space="preserve">global </w:t>
      </w:r>
      <w:r w:rsidR="0045475F">
        <w:rPr>
          <w:rFonts w:ascii="Garamond" w:hAnsi="Garamond"/>
        </w:rPr>
        <w:t xml:space="preserve">markets. On </w:t>
      </w:r>
      <w:r w:rsidR="00584FC4">
        <w:rPr>
          <w:rFonts w:ascii="Garamond" w:hAnsi="Garamond"/>
        </w:rPr>
        <w:t>Monday</w:t>
      </w:r>
      <w:r w:rsidR="00550DBE">
        <w:rPr>
          <w:rFonts w:ascii="Garamond" w:hAnsi="Garamond"/>
        </w:rPr>
        <w:t xml:space="preserve"> </w:t>
      </w:r>
      <w:r w:rsidR="00584FC4">
        <w:rPr>
          <w:rFonts w:ascii="Garamond" w:hAnsi="Garamond"/>
        </w:rPr>
        <w:t>20</w:t>
      </w:r>
      <w:r w:rsidR="005E76FF">
        <w:rPr>
          <w:rFonts w:ascii="Garamond" w:hAnsi="Garamond"/>
          <w:vertAlign w:val="superscript"/>
        </w:rPr>
        <w:t>th</w:t>
      </w:r>
      <w:r w:rsidR="005E76FF">
        <w:rPr>
          <w:rFonts w:ascii="Garamond" w:hAnsi="Garamond"/>
        </w:rPr>
        <w:t xml:space="preserve">, </w:t>
      </w:r>
      <w:r w:rsidR="00954E84">
        <w:rPr>
          <w:rFonts w:ascii="Garamond" w:hAnsi="Garamond"/>
        </w:rPr>
        <w:t xml:space="preserve">the </w:t>
      </w:r>
      <w:r w:rsidR="00584FC4">
        <w:rPr>
          <w:rFonts w:ascii="Garamond" w:hAnsi="Garamond"/>
        </w:rPr>
        <w:t>Governor of the Bank of Canada will hold a press conference talking about short term interest rate outlooks</w:t>
      </w:r>
      <w:r w:rsidR="005E76FF">
        <w:rPr>
          <w:rFonts w:ascii="Garamond" w:hAnsi="Garamond"/>
        </w:rPr>
        <w:t xml:space="preserve">. On </w:t>
      </w:r>
      <w:r w:rsidR="00584FC4">
        <w:rPr>
          <w:rFonts w:ascii="Garamond" w:hAnsi="Garamond"/>
        </w:rPr>
        <w:t>Tuesday 21</w:t>
      </w:r>
      <w:r w:rsidR="00584FC4" w:rsidRPr="00584FC4">
        <w:rPr>
          <w:rFonts w:ascii="Garamond" w:hAnsi="Garamond"/>
        </w:rPr>
        <w:t>st</w:t>
      </w:r>
      <w:r w:rsidR="00584FC4">
        <w:rPr>
          <w:rFonts w:ascii="Garamond" w:hAnsi="Garamond"/>
        </w:rPr>
        <w:t xml:space="preserve">, </w:t>
      </w:r>
      <w:r w:rsidR="00584FC4" w:rsidRPr="00584FC4">
        <w:rPr>
          <w:rFonts w:ascii="Garamond" w:hAnsi="Garamond"/>
        </w:rPr>
        <w:t xml:space="preserve">The German </w:t>
      </w:r>
      <w:proofErr w:type="spellStart"/>
      <w:r w:rsidR="00584FC4" w:rsidRPr="00584FC4">
        <w:rPr>
          <w:rFonts w:ascii="Garamond" w:hAnsi="Garamond"/>
        </w:rPr>
        <w:t>Zentrum</w:t>
      </w:r>
      <w:proofErr w:type="spellEnd"/>
      <w:r w:rsidR="00584FC4" w:rsidRPr="00584FC4">
        <w:rPr>
          <w:rFonts w:ascii="Garamond" w:hAnsi="Garamond"/>
        </w:rPr>
        <w:t xml:space="preserve"> </w:t>
      </w:r>
      <w:proofErr w:type="spellStart"/>
      <w:r w:rsidR="00584FC4" w:rsidRPr="00584FC4">
        <w:rPr>
          <w:rFonts w:ascii="Garamond" w:hAnsi="Garamond"/>
        </w:rPr>
        <w:t>für</w:t>
      </w:r>
      <w:proofErr w:type="spellEnd"/>
      <w:r w:rsidR="00584FC4" w:rsidRPr="00584FC4">
        <w:rPr>
          <w:rFonts w:ascii="Garamond" w:hAnsi="Garamond"/>
        </w:rPr>
        <w:t xml:space="preserve"> </w:t>
      </w:r>
      <w:proofErr w:type="spellStart"/>
      <w:r w:rsidR="00584FC4" w:rsidRPr="00584FC4">
        <w:rPr>
          <w:rFonts w:ascii="Garamond" w:hAnsi="Garamond"/>
        </w:rPr>
        <w:t>Europäische</w:t>
      </w:r>
      <w:proofErr w:type="spellEnd"/>
      <w:r w:rsidR="00584FC4" w:rsidRPr="00584FC4">
        <w:rPr>
          <w:rFonts w:ascii="Garamond" w:hAnsi="Garamond"/>
        </w:rPr>
        <w:t xml:space="preserve"> </w:t>
      </w:r>
      <w:proofErr w:type="spellStart"/>
      <w:r w:rsidR="00584FC4" w:rsidRPr="00584FC4">
        <w:rPr>
          <w:rFonts w:ascii="Garamond" w:hAnsi="Garamond"/>
        </w:rPr>
        <w:t>Wirtschaftsforschung</w:t>
      </w:r>
      <w:proofErr w:type="spellEnd"/>
      <w:r w:rsidR="00584FC4" w:rsidRPr="00584FC4">
        <w:rPr>
          <w:rFonts w:ascii="Garamond" w:hAnsi="Garamond"/>
        </w:rPr>
        <w:t xml:space="preserve"> (ZEW)</w:t>
      </w:r>
      <w:r w:rsidR="00584FC4">
        <w:rPr>
          <w:rFonts w:ascii="Garamond" w:hAnsi="Garamond"/>
        </w:rPr>
        <w:t xml:space="preserve"> will report on the country’s economic sentiment index providing an outlook for the economy’s performance in the upcoming months.</w:t>
      </w:r>
      <w:r w:rsidR="00584FC4" w:rsidRPr="00584FC4">
        <w:rPr>
          <w:rFonts w:ascii="Garamond" w:hAnsi="Garamond"/>
        </w:rPr>
        <w:t> </w:t>
      </w:r>
      <w:r w:rsidR="00542C1E">
        <w:rPr>
          <w:rFonts w:ascii="Garamond" w:hAnsi="Garamond"/>
        </w:rPr>
        <w:t xml:space="preserve"> </w:t>
      </w:r>
      <w:r w:rsidR="00584FC4">
        <w:rPr>
          <w:rFonts w:ascii="Garamond" w:hAnsi="Garamond"/>
        </w:rPr>
        <w:t>On the same day, Australia will report on the country’s Consumer Price Index (</w:t>
      </w:r>
      <w:proofErr w:type="spellStart"/>
      <w:r w:rsidR="00584FC4">
        <w:rPr>
          <w:rFonts w:ascii="Garamond" w:hAnsi="Garamond"/>
        </w:rPr>
        <w:t>QoQ</w:t>
      </w:r>
      <w:proofErr w:type="spellEnd"/>
      <w:r w:rsidR="00584FC4">
        <w:rPr>
          <w:rFonts w:ascii="Garamond" w:hAnsi="Garamond"/>
        </w:rPr>
        <w:t>) (</w:t>
      </w:r>
      <w:r w:rsidR="00504395">
        <w:rPr>
          <w:rFonts w:ascii="Garamond" w:hAnsi="Garamond"/>
        </w:rPr>
        <w:t>Q1</w:t>
      </w:r>
      <w:r w:rsidR="00584FC4">
        <w:rPr>
          <w:rFonts w:ascii="Garamond" w:hAnsi="Garamond"/>
        </w:rPr>
        <w:t xml:space="preserve">). </w:t>
      </w:r>
      <w:r w:rsidR="008A1504">
        <w:rPr>
          <w:rFonts w:ascii="Garamond" w:hAnsi="Garamond"/>
        </w:rPr>
        <w:t xml:space="preserve">On </w:t>
      </w:r>
      <w:r w:rsidR="00542C1E">
        <w:rPr>
          <w:rFonts w:ascii="Garamond" w:hAnsi="Garamond"/>
        </w:rPr>
        <w:t xml:space="preserve">Wednesday </w:t>
      </w:r>
      <w:r w:rsidR="00504395">
        <w:rPr>
          <w:rFonts w:ascii="Garamond" w:hAnsi="Garamond"/>
        </w:rPr>
        <w:t>22</w:t>
      </w:r>
      <w:r w:rsidR="00504395" w:rsidRPr="00504395">
        <w:rPr>
          <w:rFonts w:ascii="Garamond" w:hAnsi="Garamond"/>
          <w:vertAlign w:val="superscript"/>
        </w:rPr>
        <w:t>nd</w:t>
      </w:r>
      <w:r w:rsidR="008A1504">
        <w:rPr>
          <w:rFonts w:ascii="Garamond" w:hAnsi="Garamond"/>
        </w:rPr>
        <w:t xml:space="preserve">, the </w:t>
      </w:r>
      <w:r w:rsidR="00504395">
        <w:rPr>
          <w:rFonts w:ascii="Garamond" w:hAnsi="Garamond"/>
        </w:rPr>
        <w:t>Bank of England</w:t>
      </w:r>
      <w:r w:rsidR="00542C1E">
        <w:rPr>
          <w:rFonts w:ascii="Garamond" w:hAnsi="Garamond"/>
        </w:rPr>
        <w:t xml:space="preserve"> will hold </w:t>
      </w:r>
      <w:r w:rsidR="00504395">
        <w:rPr>
          <w:rFonts w:ascii="Garamond" w:hAnsi="Garamond"/>
        </w:rPr>
        <w:t xml:space="preserve">its Monetary Committee Policy Meeting Minutes. </w:t>
      </w:r>
      <w:r w:rsidR="008A1504">
        <w:rPr>
          <w:rFonts w:ascii="Garamond" w:hAnsi="Garamond"/>
        </w:rPr>
        <w:t xml:space="preserve">On the same day </w:t>
      </w:r>
      <w:r w:rsidR="00504395">
        <w:rPr>
          <w:rFonts w:ascii="Garamond" w:hAnsi="Garamond"/>
        </w:rPr>
        <w:t xml:space="preserve">China will release data about their economy’s HSBC Manufacturing PMI </w:t>
      </w:r>
      <w:r w:rsidR="008A1504">
        <w:rPr>
          <w:rFonts w:ascii="Garamond" w:hAnsi="Garamond"/>
        </w:rPr>
        <w:t>(</w:t>
      </w:r>
      <w:r w:rsidR="00504395">
        <w:rPr>
          <w:rFonts w:ascii="Garamond" w:hAnsi="Garamond"/>
        </w:rPr>
        <w:t>Apr</w:t>
      </w:r>
      <w:r w:rsidR="008A1504">
        <w:rPr>
          <w:rFonts w:ascii="Garamond" w:hAnsi="Garamond"/>
        </w:rPr>
        <w:t xml:space="preserve">). On </w:t>
      </w:r>
      <w:r w:rsidR="00504395">
        <w:rPr>
          <w:rFonts w:ascii="Garamond" w:hAnsi="Garamond"/>
        </w:rPr>
        <w:t>Thursday</w:t>
      </w:r>
      <w:r w:rsidR="008A1504">
        <w:rPr>
          <w:rFonts w:ascii="Garamond" w:hAnsi="Garamond"/>
        </w:rPr>
        <w:t xml:space="preserve"> </w:t>
      </w:r>
      <w:r w:rsidR="00504395">
        <w:rPr>
          <w:rFonts w:ascii="Garamond" w:hAnsi="Garamond"/>
        </w:rPr>
        <w:t>23</w:t>
      </w:r>
      <w:r w:rsidR="00504395" w:rsidRPr="00504395">
        <w:rPr>
          <w:rFonts w:ascii="Garamond" w:hAnsi="Garamond"/>
          <w:vertAlign w:val="superscript"/>
        </w:rPr>
        <w:t>rd</w:t>
      </w:r>
      <w:r w:rsidR="008A1504">
        <w:rPr>
          <w:rFonts w:ascii="Garamond" w:hAnsi="Garamond"/>
        </w:rPr>
        <w:t xml:space="preserve">, </w:t>
      </w:r>
      <w:r w:rsidR="00504395">
        <w:rPr>
          <w:rFonts w:ascii="Garamond" w:hAnsi="Garamond"/>
        </w:rPr>
        <w:t>Germany will report on their country’s Manufacturing PMI</w:t>
      </w:r>
      <w:r w:rsidR="00542C1E">
        <w:rPr>
          <w:rFonts w:ascii="Garamond" w:hAnsi="Garamond"/>
        </w:rPr>
        <w:t xml:space="preserve"> (</w:t>
      </w:r>
      <w:r w:rsidR="00504395">
        <w:rPr>
          <w:rFonts w:ascii="Garamond" w:hAnsi="Garamond"/>
        </w:rPr>
        <w:t>Apr</w:t>
      </w:r>
      <w:r w:rsidR="00542C1E">
        <w:rPr>
          <w:rFonts w:ascii="Garamond" w:hAnsi="Garamond"/>
        </w:rPr>
        <w:t xml:space="preserve">). </w:t>
      </w:r>
      <w:r w:rsidR="008A1504">
        <w:rPr>
          <w:rFonts w:ascii="Garamond" w:hAnsi="Garamond"/>
        </w:rPr>
        <w:t xml:space="preserve"> </w:t>
      </w:r>
      <w:r w:rsidR="00542C1E">
        <w:rPr>
          <w:rFonts w:ascii="Garamond" w:hAnsi="Garamond"/>
        </w:rPr>
        <w:t xml:space="preserve">On the same day, </w:t>
      </w:r>
      <w:r w:rsidR="00504395">
        <w:rPr>
          <w:rFonts w:ascii="Garamond" w:hAnsi="Garamond"/>
        </w:rPr>
        <w:t>England will release data about their country’s retail sales (</w:t>
      </w:r>
      <w:proofErr w:type="spellStart"/>
      <w:r w:rsidR="00504395">
        <w:rPr>
          <w:rFonts w:ascii="Garamond" w:hAnsi="Garamond"/>
        </w:rPr>
        <w:t>MoM</w:t>
      </w:r>
      <w:proofErr w:type="spellEnd"/>
      <w:r w:rsidR="00504395">
        <w:rPr>
          <w:rFonts w:ascii="Garamond" w:hAnsi="Garamond"/>
        </w:rPr>
        <w:t>) (Mar)</w:t>
      </w:r>
      <w:r w:rsidR="008A1504">
        <w:rPr>
          <w:rFonts w:ascii="Garamond" w:hAnsi="Garamond"/>
        </w:rPr>
        <w:t>.</w:t>
      </w:r>
    </w:p>
    <w:sectPr w:rsidR="004744A3" w:rsidRPr="000A6DE6" w:rsidSect="00EB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47F"/>
    <w:multiLevelType w:val="hybridMultilevel"/>
    <w:tmpl w:val="12DCE288"/>
    <w:lvl w:ilvl="0" w:tplc="733C2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C1"/>
    <w:rsid w:val="000521D3"/>
    <w:rsid w:val="000870AC"/>
    <w:rsid w:val="000A6DE6"/>
    <w:rsid w:val="000D04D6"/>
    <w:rsid w:val="000D6ADB"/>
    <w:rsid w:val="000E75FB"/>
    <w:rsid w:val="000F460F"/>
    <w:rsid w:val="00176317"/>
    <w:rsid w:val="00192982"/>
    <w:rsid w:val="001A3122"/>
    <w:rsid w:val="001C0C02"/>
    <w:rsid w:val="00202E36"/>
    <w:rsid w:val="002233C1"/>
    <w:rsid w:val="00233E80"/>
    <w:rsid w:val="0024233C"/>
    <w:rsid w:val="002445B0"/>
    <w:rsid w:val="00282257"/>
    <w:rsid w:val="0029252F"/>
    <w:rsid w:val="002A53CB"/>
    <w:rsid w:val="002E4BD6"/>
    <w:rsid w:val="002E5AC1"/>
    <w:rsid w:val="00310057"/>
    <w:rsid w:val="00310538"/>
    <w:rsid w:val="00316AEF"/>
    <w:rsid w:val="00324A6D"/>
    <w:rsid w:val="00356C5A"/>
    <w:rsid w:val="003654A1"/>
    <w:rsid w:val="003C2C57"/>
    <w:rsid w:val="003C7A9D"/>
    <w:rsid w:val="003D18A1"/>
    <w:rsid w:val="003D430F"/>
    <w:rsid w:val="003E029D"/>
    <w:rsid w:val="003E4F58"/>
    <w:rsid w:val="003F5848"/>
    <w:rsid w:val="00447551"/>
    <w:rsid w:val="0045340A"/>
    <w:rsid w:val="0045475F"/>
    <w:rsid w:val="00455FD6"/>
    <w:rsid w:val="00460A22"/>
    <w:rsid w:val="00472A54"/>
    <w:rsid w:val="004744A3"/>
    <w:rsid w:val="00476B85"/>
    <w:rsid w:val="004A20C2"/>
    <w:rsid w:val="004A6339"/>
    <w:rsid w:val="004B22EF"/>
    <w:rsid w:val="004B4937"/>
    <w:rsid w:val="004C4C1E"/>
    <w:rsid w:val="00503B6B"/>
    <w:rsid w:val="00504395"/>
    <w:rsid w:val="00526CCE"/>
    <w:rsid w:val="00534791"/>
    <w:rsid w:val="00540ED4"/>
    <w:rsid w:val="00542260"/>
    <w:rsid w:val="00542C1E"/>
    <w:rsid w:val="00550DBE"/>
    <w:rsid w:val="00582F4B"/>
    <w:rsid w:val="0058349C"/>
    <w:rsid w:val="0058375A"/>
    <w:rsid w:val="00584FC4"/>
    <w:rsid w:val="00585755"/>
    <w:rsid w:val="005D56CA"/>
    <w:rsid w:val="005E76FF"/>
    <w:rsid w:val="005F7964"/>
    <w:rsid w:val="00630D45"/>
    <w:rsid w:val="0066746B"/>
    <w:rsid w:val="0069389F"/>
    <w:rsid w:val="006A7B31"/>
    <w:rsid w:val="00704C21"/>
    <w:rsid w:val="00712DDA"/>
    <w:rsid w:val="007216F6"/>
    <w:rsid w:val="0073094F"/>
    <w:rsid w:val="00745500"/>
    <w:rsid w:val="00756F06"/>
    <w:rsid w:val="00773F5A"/>
    <w:rsid w:val="007C46B0"/>
    <w:rsid w:val="00800FAD"/>
    <w:rsid w:val="00836878"/>
    <w:rsid w:val="008430D2"/>
    <w:rsid w:val="00855778"/>
    <w:rsid w:val="00876ED0"/>
    <w:rsid w:val="00891405"/>
    <w:rsid w:val="008A1504"/>
    <w:rsid w:val="008A489D"/>
    <w:rsid w:val="008C583B"/>
    <w:rsid w:val="00903617"/>
    <w:rsid w:val="00910027"/>
    <w:rsid w:val="00910308"/>
    <w:rsid w:val="00926DA1"/>
    <w:rsid w:val="0094546A"/>
    <w:rsid w:val="0095358C"/>
    <w:rsid w:val="00953FF8"/>
    <w:rsid w:val="00954E84"/>
    <w:rsid w:val="00961874"/>
    <w:rsid w:val="00992714"/>
    <w:rsid w:val="009A703C"/>
    <w:rsid w:val="009D1585"/>
    <w:rsid w:val="009F32BF"/>
    <w:rsid w:val="00A12C20"/>
    <w:rsid w:val="00A15921"/>
    <w:rsid w:val="00A24576"/>
    <w:rsid w:val="00A24FEE"/>
    <w:rsid w:val="00A5625E"/>
    <w:rsid w:val="00A5696A"/>
    <w:rsid w:val="00AA6A6B"/>
    <w:rsid w:val="00AC1B73"/>
    <w:rsid w:val="00AE6E2D"/>
    <w:rsid w:val="00AE7EA0"/>
    <w:rsid w:val="00B218A5"/>
    <w:rsid w:val="00B946FE"/>
    <w:rsid w:val="00BA6E6C"/>
    <w:rsid w:val="00BD1773"/>
    <w:rsid w:val="00C12492"/>
    <w:rsid w:val="00C26BDA"/>
    <w:rsid w:val="00C51DC0"/>
    <w:rsid w:val="00C770C7"/>
    <w:rsid w:val="00CA5A58"/>
    <w:rsid w:val="00CC49B6"/>
    <w:rsid w:val="00CD1D8F"/>
    <w:rsid w:val="00CF10EA"/>
    <w:rsid w:val="00D053C3"/>
    <w:rsid w:val="00D26302"/>
    <w:rsid w:val="00D365FE"/>
    <w:rsid w:val="00D47D5B"/>
    <w:rsid w:val="00D62FEE"/>
    <w:rsid w:val="00D73D6E"/>
    <w:rsid w:val="00D84FBB"/>
    <w:rsid w:val="00DC0390"/>
    <w:rsid w:val="00DC2304"/>
    <w:rsid w:val="00DC2BE1"/>
    <w:rsid w:val="00DC3F77"/>
    <w:rsid w:val="00DC6A59"/>
    <w:rsid w:val="00DD5520"/>
    <w:rsid w:val="00DF465E"/>
    <w:rsid w:val="00E00B9E"/>
    <w:rsid w:val="00E33C3D"/>
    <w:rsid w:val="00E41376"/>
    <w:rsid w:val="00E57C97"/>
    <w:rsid w:val="00E72D3A"/>
    <w:rsid w:val="00E77FF4"/>
    <w:rsid w:val="00E92C98"/>
    <w:rsid w:val="00EB3E6D"/>
    <w:rsid w:val="00ED05FA"/>
    <w:rsid w:val="00EF1EF1"/>
    <w:rsid w:val="00F53BF6"/>
    <w:rsid w:val="00F6411D"/>
    <w:rsid w:val="00F74791"/>
    <w:rsid w:val="00F849CB"/>
    <w:rsid w:val="00F95E4E"/>
    <w:rsid w:val="00FB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 w:type="character" w:customStyle="1" w:styleId="apple-converted-space">
    <w:name w:val="apple-converted-space"/>
    <w:basedOn w:val="DefaultParagraphFont"/>
    <w:rsid w:val="00584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 w:type="character" w:customStyle="1" w:styleId="apple-converted-space">
    <w:name w:val="apple-converted-space"/>
    <w:basedOn w:val="DefaultParagraphFont"/>
    <w:rsid w:val="0058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Weddig, Nils</dc:creator>
  <cp:lastModifiedBy>Tyler</cp:lastModifiedBy>
  <cp:revision>2</cp:revision>
  <dcterms:created xsi:type="dcterms:W3CDTF">2015-04-19T17:37:00Z</dcterms:created>
  <dcterms:modified xsi:type="dcterms:W3CDTF">2015-04-19T17:37:00Z</dcterms:modified>
</cp:coreProperties>
</file>