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4E" w:rsidRPr="00953FF8" w:rsidRDefault="002E5AC1" w:rsidP="00F95E4E">
      <w:pPr>
        <w:rPr>
          <w:rFonts w:ascii="Garamond" w:eastAsia="Arial" w:hAnsi="Garamond" w:cs="Times New Roman"/>
          <w:b/>
          <w:color w:val="0A6345"/>
          <w:sz w:val="32"/>
          <w:szCs w:val="32"/>
        </w:rPr>
      </w:pPr>
      <w:bookmarkStart w:id="0" w:name="_GoBack"/>
      <w:bookmarkEnd w:id="0"/>
      <w:r w:rsidRPr="00953FF8">
        <w:rPr>
          <w:rFonts w:ascii="Garamond" w:eastAsia="Arial" w:hAnsi="Garamond" w:cs="Times New Roman"/>
          <w:b/>
          <w:color w:val="0A6345"/>
          <w:sz w:val="32"/>
          <w:szCs w:val="32"/>
        </w:rPr>
        <w:t>Macroeconomic</w:t>
      </w:r>
      <w:r w:rsidRPr="00953FF8">
        <w:rPr>
          <w:rFonts w:ascii="Garamond" w:hAnsi="Garamond"/>
          <w:sz w:val="32"/>
          <w:szCs w:val="32"/>
        </w:rPr>
        <w:t xml:space="preserve"> </w:t>
      </w:r>
      <w:r w:rsidRPr="00953FF8">
        <w:rPr>
          <w:rFonts w:ascii="Garamond" w:eastAsia="Arial" w:hAnsi="Garamond" w:cs="Times New Roman"/>
          <w:b/>
          <w:color w:val="0A6345"/>
          <w:sz w:val="32"/>
          <w:szCs w:val="32"/>
        </w:rPr>
        <w:t>Overview</w:t>
      </w:r>
      <w:r w:rsidR="00DC1710">
        <w:rPr>
          <w:rFonts w:ascii="Garamond" w:hAnsi="Garamond"/>
          <w:sz w:val="32"/>
          <w:szCs w:val="32"/>
        </w:rPr>
        <w:pict>
          <v:rect id="_x0000_i1025" style="width:468pt;height:1pt" o:hralign="center" o:hrstd="t" o:hrnoshade="t" o:hr="t" fillcolor="#ffc000" stroked="f"/>
        </w:pict>
      </w:r>
    </w:p>
    <w:tbl>
      <w:tblPr>
        <w:tblpPr w:leftFromText="180" w:rightFromText="180" w:vertAnchor="text" w:horzAnchor="margin" w:tblpX="108" w:tblpY="2274"/>
        <w:tblW w:w="0" w:type="auto"/>
        <w:tblLayout w:type="fixed"/>
        <w:tblLook w:val="04A0" w:firstRow="1" w:lastRow="0" w:firstColumn="1" w:lastColumn="0" w:noHBand="0" w:noVBand="1"/>
      </w:tblPr>
      <w:tblGrid>
        <w:gridCol w:w="2178"/>
        <w:gridCol w:w="1980"/>
        <w:gridCol w:w="1890"/>
      </w:tblGrid>
      <w:tr w:rsidR="00071792" w:rsidRPr="000A6DE6" w:rsidTr="00071792">
        <w:trPr>
          <w:trHeight w:val="315"/>
        </w:trPr>
        <w:tc>
          <w:tcPr>
            <w:tcW w:w="2178" w:type="dxa"/>
            <w:tcBorders>
              <w:top w:val="single" w:sz="4" w:space="0" w:color="auto"/>
              <w:left w:val="single" w:sz="4" w:space="0" w:color="auto"/>
              <w:bottom w:val="nil"/>
              <w:right w:val="nil"/>
            </w:tcBorders>
            <w:shd w:val="clear" w:color="000000" w:fill="0070C0"/>
            <w:noWrap/>
            <w:vAlign w:val="bottom"/>
            <w:hideMark/>
          </w:tcPr>
          <w:p w:rsidR="00071792" w:rsidRPr="000A6DE6" w:rsidRDefault="00071792" w:rsidP="00071792">
            <w:pPr>
              <w:spacing w:after="0" w:line="240" w:lineRule="auto"/>
              <w:rPr>
                <w:rFonts w:ascii="Garamond" w:eastAsia="Times New Roman" w:hAnsi="Garamond" w:cs="Times New Roman"/>
                <w:b/>
                <w:bCs/>
                <w:color w:val="FFFFFF"/>
              </w:rPr>
            </w:pPr>
            <w:r w:rsidRPr="000A6DE6">
              <w:rPr>
                <w:rFonts w:ascii="Garamond" w:eastAsia="Times New Roman" w:hAnsi="Garamond" w:cs="Times New Roman"/>
                <w:b/>
                <w:bCs/>
                <w:color w:val="FFFFFF"/>
              </w:rPr>
              <w:t>U.S. Stocks</w:t>
            </w:r>
          </w:p>
        </w:tc>
        <w:tc>
          <w:tcPr>
            <w:tcW w:w="1980" w:type="dxa"/>
            <w:tcBorders>
              <w:top w:val="single" w:sz="4" w:space="0" w:color="auto"/>
              <w:left w:val="nil"/>
              <w:bottom w:val="single" w:sz="4" w:space="0" w:color="auto"/>
              <w:right w:val="nil"/>
            </w:tcBorders>
            <w:shd w:val="clear" w:color="000000" w:fill="0070C0"/>
            <w:noWrap/>
            <w:vAlign w:val="bottom"/>
            <w:hideMark/>
          </w:tcPr>
          <w:p w:rsidR="00071792" w:rsidRPr="000A6DE6" w:rsidRDefault="00071792" w:rsidP="00071792">
            <w:pPr>
              <w:spacing w:after="0" w:line="240" w:lineRule="auto"/>
              <w:rPr>
                <w:rFonts w:ascii="Garamond" w:eastAsia="Times New Roman" w:hAnsi="Garamond" w:cs="Times New Roman"/>
                <w:color w:val="000000"/>
              </w:rPr>
            </w:pPr>
            <w:r w:rsidRPr="000A6DE6">
              <w:rPr>
                <w:rFonts w:ascii="Garamond" w:eastAsia="Times New Roman" w:hAnsi="Garamond" w:cs="Times New Roman"/>
                <w:color w:val="000000"/>
              </w:rPr>
              <w:t> </w:t>
            </w:r>
          </w:p>
        </w:tc>
        <w:tc>
          <w:tcPr>
            <w:tcW w:w="1890" w:type="dxa"/>
            <w:tcBorders>
              <w:top w:val="single" w:sz="4" w:space="0" w:color="auto"/>
              <w:left w:val="nil"/>
              <w:bottom w:val="nil"/>
              <w:right w:val="single" w:sz="4" w:space="0" w:color="auto"/>
            </w:tcBorders>
            <w:shd w:val="clear" w:color="000000" w:fill="0070C0"/>
            <w:noWrap/>
            <w:vAlign w:val="bottom"/>
            <w:hideMark/>
          </w:tcPr>
          <w:p w:rsidR="00071792" w:rsidRPr="000A6DE6" w:rsidRDefault="00071792" w:rsidP="00071792">
            <w:pPr>
              <w:spacing w:after="0" w:line="240" w:lineRule="auto"/>
              <w:rPr>
                <w:rFonts w:ascii="Garamond" w:eastAsia="Times New Roman" w:hAnsi="Garamond" w:cs="Times New Roman"/>
                <w:color w:val="000000"/>
              </w:rPr>
            </w:pPr>
            <w:r w:rsidRPr="000A6DE6">
              <w:rPr>
                <w:rFonts w:ascii="Garamond" w:eastAsia="Times New Roman" w:hAnsi="Garamond" w:cs="Times New Roman"/>
                <w:color w:val="000000"/>
              </w:rPr>
              <w:t> </w:t>
            </w:r>
          </w:p>
        </w:tc>
      </w:tr>
      <w:tr w:rsidR="00071792" w:rsidRPr="000A6DE6" w:rsidTr="00071792">
        <w:trPr>
          <w:trHeight w:val="398"/>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792" w:rsidRPr="000A6DE6" w:rsidRDefault="00071792" w:rsidP="00071792">
            <w:pPr>
              <w:spacing w:after="0" w:line="240" w:lineRule="auto"/>
              <w:rPr>
                <w:rFonts w:ascii="Garamond" w:eastAsia="Times New Roman" w:hAnsi="Garamond" w:cs="Times New Roman"/>
                <w:b/>
                <w:bCs/>
                <w:color w:val="000000"/>
              </w:rPr>
            </w:pPr>
            <w:r w:rsidRPr="000A6DE6">
              <w:rPr>
                <w:rFonts w:ascii="Garamond" w:eastAsia="Times New Roman" w:hAnsi="Garamond" w:cs="Times New Roman"/>
                <w:b/>
                <w:bCs/>
                <w:color w:val="000000"/>
              </w:rPr>
              <w:t>Index</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792" w:rsidRPr="000A6DE6" w:rsidRDefault="00071792" w:rsidP="00071792">
            <w:pPr>
              <w:spacing w:after="0" w:line="240" w:lineRule="auto"/>
              <w:jc w:val="center"/>
              <w:rPr>
                <w:rFonts w:ascii="Garamond" w:eastAsia="Times New Roman" w:hAnsi="Garamond" w:cs="Times New Roman"/>
                <w:b/>
                <w:bCs/>
                <w:color w:val="000000"/>
              </w:rPr>
            </w:pPr>
            <w:r w:rsidRPr="000A6DE6">
              <w:rPr>
                <w:rFonts w:ascii="Garamond" w:eastAsia="Times New Roman" w:hAnsi="Garamond" w:cs="Times New Roman"/>
                <w:b/>
                <w:bCs/>
                <w:color w:val="000000"/>
              </w:rPr>
              <w:t>% Change Week-to-Date</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071792" w:rsidRPr="000A6DE6" w:rsidRDefault="00071792" w:rsidP="00071792">
            <w:pPr>
              <w:spacing w:after="0" w:line="240" w:lineRule="auto"/>
              <w:jc w:val="center"/>
              <w:rPr>
                <w:rFonts w:ascii="Garamond" w:eastAsia="Times New Roman" w:hAnsi="Garamond" w:cs="Times New Roman"/>
                <w:b/>
                <w:bCs/>
                <w:color w:val="000000"/>
              </w:rPr>
            </w:pPr>
            <w:r w:rsidRPr="000A6DE6">
              <w:rPr>
                <w:rFonts w:ascii="Garamond" w:eastAsia="Times New Roman" w:hAnsi="Garamond" w:cs="Times New Roman"/>
                <w:b/>
                <w:bCs/>
                <w:color w:val="000000"/>
              </w:rPr>
              <w:t>% Change Year-to-Date</w:t>
            </w:r>
          </w:p>
        </w:tc>
      </w:tr>
      <w:tr w:rsidR="00071792" w:rsidRPr="000A6DE6" w:rsidTr="00071792">
        <w:trPr>
          <w:trHeight w:val="353"/>
        </w:trPr>
        <w:tc>
          <w:tcPr>
            <w:tcW w:w="2178" w:type="dxa"/>
            <w:tcBorders>
              <w:top w:val="nil"/>
              <w:left w:val="single" w:sz="4" w:space="0" w:color="auto"/>
              <w:bottom w:val="nil"/>
              <w:right w:val="single" w:sz="4" w:space="0" w:color="auto"/>
            </w:tcBorders>
            <w:shd w:val="clear" w:color="auto" w:fill="auto"/>
            <w:noWrap/>
            <w:vAlign w:val="bottom"/>
            <w:hideMark/>
          </w:tcPr>
          <w:p w:rsidR="00071792" w:rsidRPr="000A6DE6" w:rsidRDefault="00071792" w:rsidP="0007179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DJIA</w:t>
            </w:r>
          </w:p>
        </w:tc>
        <w:tc>
          <w:tcPr>
            <w:tcW w:w="1980" w:type="dxa"/>
            <w:tcBorders>
              <w:top w:val="nil"/>
              <w:left w:val="single" w:sz="4" w:space="0" w:color="auto"/>
              <w:bottom w:val="nil"/>
              <w:right w:val="single" w:sz="4" w:space="0" w:color="auto"/>
            </w:tcBorders>
            <w:shd w:val="clear" w:color="auto" w:fill="auto"/>
            <w:noWrap/>
            <w:vAlign w:val="bottom"/>
            <w:hideMark/>
          </w:tcPr>
          <w:p w:rsidR="00071792" w:rsidRPr="000A6DE6" w:rsidRDefault="00BB3AE1" w:rsidP="0007179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1.42</w:t>
            </w:r>
            <w:r w:rsidR="00071792" w:rsidRPr="000A6DE6">
              <w:rPr>
                <w:rFonts w:ascii="Garamond" w:eastAsia="Times New Roman" w:hAnsi="Garamond" w:cs="Times New Roman"/>
                <w:color w:val="000000"/>
              </w:rPr>
              <w:t>%</w:t>
            </w:r>
          </w:p>
        </w:tc>
        <w:tc>
          <w:tcPr>
            <w:tcW w:w="1890" w:type="dxa"/>
            <w:tcBorders>
              <w:top w:val="nil"/>
              <w:left w:val="nil"/>
              <w:bottom w:val="nil"/>
              <w:right w:val="single" w:sz="4" w:space="0" w:color="auto"/>
            </w:tcBorders>
            <w:shd w:val="clear" w:color="auto" w:fill="auto"/>
            <w:noWrap/>
            <w:vAlign w:val="bottom"/>
            <w:hideMark/>
          </w:tcPr>
          <w:p w:rsidR="00071792" w:rsidRPr="000A6DE6" w:rsidRDefault="00BB3AE1" w:rsidP="0007179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1.44</w:t>
            </w:r>
            <w:r w:rsidR="00071792" w:rsidRPr="000A6DE6">
              <w:rPr>
                <w:rFonts w:ascii="Garamond" w:eastAsia="Times New Roman" w:hAnsi="Garamond" w:cs="Times New Roman"/>
                <w:color w:val="000000"/>
              </w:rPr>
              <w:t>%</w:t>
            </w:r>
          </w:p>
        </w:tc>
      </w:tr>
      <w:tr w:rsidR="00071792" w:rsidRPr="000A6DE6" w:rsidTr="00071792">
        <w:trPr>
          <w:trHeight w:val="345"/>
        </w:trPr>
        <w:tc>
          <w:tcPr>
            <w:tcW w:w="2178" w:type="dxa"/>
            <w:tcBorders>
              <w:top w:val="nil"/>
              <w:left w:val="single" w:sz="4" w:space="0" w:color="auto"/>
              <w:bottom w:val="nil"/>
              <w:right w:val="single" w:sz="4" w:space="0" w:color="auto"/>
            </w:tcBorders>
            <w:shd w:val="clear" w:color="auto" w:fill="auto"/>
            <w:noWrap/>
            <w:vAlign w:val="bottom"/>
            <w:hideMark/>
          </w:tcPr>
          <w:p w:rsidR="00071792" w:rsidRPr="000A6DE6" w:rsidRDefault="00071792" w:rsidP="0007179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S&amp;P 500</w:t>
            </w:r>
          </w:p>
        </w:tc>
        <w:tc>
          <w:tcPr>
            <w:tcW w:w="1980" w:type="dxa"/>
            <w:tcBorders>
              <w:top w:val="nil"/>
              <w:left w:val="single" w:sz="4" w:space="0" w:color="auto"/>
              <w:bottom w:val="nil"/>
              <w:right w:val="single" w:sz="4" w:space="0" w:color="auto"/>
            </w:tcBorders>
            <w:shd w:val="clear" w:color="auto" w:fill="auto"/>
            <w:noWrap/>
            <w:vAlign w:val="bottom"/>
            <w:hideMark/>
          </w:tcPr>
          <w:p w:rsidR="00071792" w:rsidRPr="000A6DE6" w:rsidRDefault="00BB3AE1" w:rsidP="0007179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1.75</w:t>
            </w:r>
            <w:r w:rsidR="00071792" w:rsidRPr="000A6DE6">
              <w:rPr>
                <w:rFonts w:ascii="Garamond" w:eastAsia="Times New Roman" w:hAnsi="Garamond" w:cs="Times New Roman"/>
                <w:color w:val="000000"/>
              </w:rPr>
              <w:t>%</w:t>
            </w:r>
          </w:p>
        </w:tc>
        <w:tc>
          <w:tcPr>
            <w:tcW w:w="1890" w:type="dxa"/>
            <w:tcBorders>
              <w:top w:val="nil"/>
              <w:left w:val="nil"/>
              <w:bottom w:val="nil"/>
              <w:right w:val="single" w:sz="4" w:space="0" w:color="auto"/>
            </w:tcBorders>
            <w:shd w:val="clear" w:color="auto" w:fill="auto"/>
            <w:noWrap/>
            <w:vAlign w:val="bottom"/>
            <w:hideMark/>
          </w:tcPr>
          <w:p w:rsidR="00071792" w:rsidRPr="000A6DE6" w:rsidRDefault="00BB3AE1" w:rsidP="0007179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2.86</w:t>
            </w:r>
            <w:r w:rsidR="00071792" w:rsidRPr="000A6DE6">
              <w:rPr>
                <w:rFonts w:ascii="Garamond" w:eastAsia="Times New Roman" w:hAnsi="Garamond" w:cs="Times New Roman"/>
                <w:color w:val="000000"/>
              </w:rPr>
              <w:t>%</w:t>
            </w:r>
          </w:p>
        </w:tc>
      </w:tr>
      <w:tr w:rsidR="00071792" w:rsidRPr="000A6DE6" w:rsidTr="00071792">
        <w:trPr>
          <w:trHeight w:val="363"/>
        </w:trPr>
        <w:tc>
          <w:tcPr>
            <w:tcW w:w="2178" w:type="dxa"/>
            <w:tcBorders>
              <w:top w:val="nil"/>
              <w:left w:val="single" w:sz="4" w:space="0" w:color="auto"/>
              <w:bottom w:val="nil"/>
              <w:right w:val="single" w:sz="4" w:space="0" w:color="auto"/>
            </w:tcBorders>
            <w:shd w:val="clear" w:color="auto" w:fill="auto"/>
            <w:noWrap/>
            <w:vAlign w:val="bottom"/>
            <w:hideMark/>
          </w:tcPr>
          <w:p w:rsidR="00071792" w:rsidRPr="000A6DE6" w:rsidRDefault="00071792" w:rsidP="0007179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NASDAQ Composite</w:t>
            </w:r>
          </w:p>
        </w:tc>
        <w:tc>
          <w:tcPr>
            <w:tcW w:w="1980" w:type="dxa"/>
            <w:tcBorders>
              <w:top w:val="nil"/>
              <w:left w:val="single" w:sz="4" w:space="0" w:color="auto"/>
              <w:bottom w:val="nil"/>
              <w:right w:val="single" w:sz="4" w:space="0" w:color="auto"/>
            </w:tcBorders>
            <w:shd w:val="clear" w:color="auto" w:fill="auto"/>
            <w:noWrap/>
            <w:vAlign w:val="bottom"/>
            <w:hideMark/>
          </w:tcPr>
          <w:p w:rsidR="00071792" w:rsidRPr="000A6DE6" w:rsidRDefault="00BB3AE1" w:rsidP="0007179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3.25</w:t>
            </w:r>
            <w:r w:rsidR="00071792" w:rsidRPr="000A6DE6">
              <w:rPr>
                <w:rFonts w:ascii="Garamond" w:eastAsia="Times New Roman" w:hAnsi="Garamond" w:cs="Times New Roman"/>
                <w:color w:val="000000"/>
              </w:rPr>
              <w:t>%</w:t>
            </w:r>
          </w:p>
        </w:tc>
        <w:tc>
          <w:tcPr>
            <w:tcW w:w="1890" w:type="dxa"/>
            <w:tcBorders>
              <w:top w:val="nil"/>
              <w:left w:val="nil"/>
              <w:bottom w:val="nil"/>
              <w:right w:val="single" w:sz="4" w:space="0" w:color="auto"/>
            </w:tcBorders>
            <w:shd w:val="clear" w:color="auto" w:fill="auto"/>
            <w:noWrap/>
            <w:vAlign w:val="bottom"/>
            <w:hideMark/>
          </w:tcPr>
          <w:p w:rsidR="00071792" w:rsidRPr="000A6DE6" w:rsidRDefault="00BB3AE1" w:rsidP="0007179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7.52</w:t>
            </w:r>
            <w:r w:rsidR="00071792" w:rsidRPr="000A6DE6">
              <w:rPr>
                <w:rFonts w:ascii="Garamond" w:eastAsia="Times New Roman" w:hAnsi="Garamond" w:cs="Times New Roman"/>
                <w:color w:val="000000"/>
              </w:rPr>
              <w:t>%</w:t>
            </w:r>
          </w:p>
        </w:tc>
      </w:tr>
      <w:tr w:rsidR="00071792" w:rsidRPr="000A6DE6" w:rsidTr="00071792">
        <w:trPr>
          <w:trHeight w:val="363"/>
        </w:trPr>
        <w:tc>
          <w:tcPr>
            <w:tcW w:w="2178" w:type="dxa"/>
            <w:tcBorders>
              <w:top w:val="nil"/>
              <w:left w:val="single" w:sz="4" w:space="0" w:color="auto"/>
              <w:right w:val="single" w:sz="4" w:space="0" w:color="auto"/>
            </w:tcBorders>
            <w:shd w:val="clear" w:color="auto" w:fill="auto"/>
            <w:noWrap/>
            <w:vAlign w:val="bottom"/>
            <w:hideMark/>
          </w:tcPr>
          <w:p w:rsidR="00071792" w:rsidRPr="000A6DE6" w:rsidRDefault="00071792" w:rsidP="0007179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Russell 2000</w:t>
            </w:r>
          </w:p>
        </w:tc>
        <w:tc>
          <w:tcPr>
            <w:tcW w:w="1980" w:type="dxa"/>
            <w:tcBorders>
              <w:top w:val="nil"/>
              <w:left w:val="single" w:sz="4" w:space="0" w:color="auto"/>
              <w:right w:val="single" w:sz="4" w:space="0" w:color="auto"/>
            </w:tcBorders>
            <w:shd w:val="clear" w:color="auto" w:fill="auto"/>
            <w:noWrap/>
            <w:vAlign w:val="bottom"/>
            <w:hideMark/>
          </w:tcPr>
          <w:p w:rsidR="00071792" w:rsidRPr="000A6DE6" w:rsidRDefault="00BB3AE1" w:rsidP="0007179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1.25</w:t>
            </w:r>
            <w:r w:rsidR="00071792" w:rsidRPr="000A6DE6">
              <w:rPr>
                <w:rFonts w:ascii="Garamond" w:eastAsia="Times New Roman" w:hAnsi="Garamond" w:cs="Times New Roman"/>
                <w:color w:val="000000"/>
              </w:rPr>
              <w:t>%</w:t>
            </w:r>
          </w:p>
        </w:tc>
        <w:tc>
          <w:tcPr>
            <w:tcW w:w="1890" w:type="dxa"/>
            <w:tcBorders>
              <w:top w:val="nil"/>
              <w:left w:val="nil"/>
              <w:right w:val="single" w:sz="4" w:space="0" w:color="auto"/>
            </w:tcBorders>
            <w:shd w:val="clear" w:color="auto" w:fill="auto"/>
            <w:noWrap/>
            <w:vAlign w:val="bottom"/>
            <w:hideMark/>
          </w:tcPr>
          <w:p w:rsidR="00071792" w:rsidRPr="000A6DE6" w:rsidRDefault="00BB3AE1" w:rsidP="0007179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5.22</w:t>
            </w:r>
            <w:r w:rsidR="00071792" w:rsidRPr="000A6DE6">
              <w:rPr>
                <w:rFonts w:ascii="Garamond" w:eastAsia="Times New Roman" w:hAnsi="Garamond" w:cs="Times New Roman"/>
                <w:color w:val="000000"/>
              </w:rPr>
              <w:t>%</w:t>
            </w:r>
          </w:p>
        </w:tc>
      </w:tr>
      <w:tr w:rsidR="00071792" w:rsidRPr="000A6DE6" w:rsidTr="00071792">
        <w:trPr>
          <w:trHeight w:val="30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071792" w:rsidRPr="000A6DE6" w:rsidRDefault="00071792" w:rsidP="0007179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VIX</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71792" w:rsidRPr="000A6DE6" w:rsidRDefault="00BB3AE1" w:rsidP="0007179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-11.52</w:t>
            </w:r>
            <w:r w:rsidR="00071792" w:rsidRPr="000A6DE6">
              <w:rPr>
                <w:rFonts w:ascii="Garamond" w:eastAsia="Times New Roman" w:hAnsi="Garamond" w:cs="Times New Roman"/>
                <w:color w:val="000000"/>
              </w:rPr>
              <w:t>%</w:t>
            </w:r>
          </w:p>
        </w:tc>
        <w:tc>
          <w:tcPr>
            <w:tcW w:w="1890" w:type="dxa"/>
            <w:tcBorders>
              <w:top w:val="nil"/>
              <w:left w:val="nil"/>
              <w:bottom w:val="single" w:sz="4" w:space="0" w:color="auto"/>
              <w:right w:val="single" w:sz="4" w:space="0" w:color="auto"/>
            </w:tcBorders>
            <w:shd w:val="clear" w:color="auto" w:fill="auto"/>
            <w:noWrap/>
            <w:vAlign w:val="bottom"/>
            <w:hideMark/>
          </w:tcPr>
          <w:p w:rsidR="00071792" w:rsidRPr="000A6DE6" w:rsidRDefault="00071792" w:rsidP="00BB3AE1">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w:t>
            </w:r>
            <w:r w:rsidR="00BB3AE1">
              <w:rPr>
                <w:rFonts w:ascii="Garamond" w:eastAsia="Times New Roman" w:hAnsi="Garamond" w:cs="Times New Roman"/>
                <w:color w:val="000000"/>
              </w:rPr>
              <w:t>39.55</w:t>
            </w:r>
            <w:r w:rsidRPr="000A6DE6">
              <w:rPr>
                <w:rFonts w:ascii="Garamond" w:eastAsia="Times New Roman" w:hAnsi="Garamond" w:cs="Times New Roman"/>
                <w:color w:val="000000"/>
              </w:rPr>
              <w:t>%</w:t>
            </w:r>
          </w:p>
        </w:tc>
      </w:tr>
    </w:tbl>
    <w:p w:rsidR="00926DA1" w:rsidRPr="00BB3AE1" w:rsidRDefault="00282257" w:rsidP="00926DA1">
      <w:pPr>
        <w:contextualSpacing/>
        <w:jc w:val="both"/>
        <w:rPr>
          <w:rFonts w:ascii="Garamond" w:hAnsi="Garamond"/>
        </w:rPr>
      </w:pPr>
      <w:r w:rsidRPr="00BB3AE1">
        <w:rPr>
          <w:rFonts w:ascii="Garamond" w:hAnsi="Garamond"/>
        </w:rPr>
        <w:t>During t</w:t>
      </w:r>
      <w:r w:rsidR="00F95E4E" w:rsidRPr="00BB3AE1">
        <w:rPr>
          <w:rFonts w:ascii="Garamond" w:hAnsi="Garamond"/>
        </w:rPr>
        <w:t xml:space="preserve">his past </w:t>
      </w:r>
      <w:r w:rsidRPr="00BB3AE1">
        <w:rPr>
          <w:rFonts w:ascii="Garamond" w:hAnsi="Garamond"/>
        </w:rPr>
        <w:t xml:space="preserve">trading </w:t>
      </w:r>
      <w:r w:rsidR="00F95E4E" w:rsidRPr="00BB3AE1">
        <w:rPr>
          <w:rFonts w:ascii="Garamond" w:hAnsi="Garamond"/>
        </w:rPr>
        <w:t>week,</w:t>
      </w:r>
      <w:r w:rsidR="00E77FF4" w:rsidRPr="00BB3AE1">
        <w:rPr>
          <w:rFonts w:ascii="Garamond" w:hAnsi="Garamond"/>
        </w:rPr>
        <w:t xml:space="preserve"> </w:t>
      </w:r>
      <w:r w:rsidR="0058349C" w:rsidRPr="00BB3AE1">
        <w:rPr>
          <w:rFonts w:ascii="Garamond" w:hAnsi="Garamond"/>
        </w:rPr>
        <w:t xml:space="preserve">all </w:t>
      </w:r>
      <w:r w:rsidR="00E77FF4" w:rsidRPr="00BB3AE1">
        <w:rPr>
          <w:rFonts w:ascii="Garamond" w:hAnsi="Garamond"/>
        </w:rPr>
        <w:t xml:space="preserve">major U.S. indices </w:t>
      </w:r>
      <w:r w:rsidR="00BB3AE1" w:rsidRPr="00BB3AE1">
        <w:rPr>
          <w:rFonts w:ascii="Garamond" w:hAnsi="Garamond"/>
        </w:rPr>
        <w:t>in</w:t>
      </w:r>
      <w:r w:rsidR="0058349C" w:rsidRPr="00BB3AE1">
        <w:rPr>
          <w:rFonts w:ascii="Garamond" w:hAnsi="Garamond"/>
        </w:rPr>
        <w:t>creased on a weekly basis</w:t>
      </w:r>
      <w:r w:rsidR="00BB3AE1" w:rsidRPr="00BB3AE1">
        <w:rPr>
          <w:rFonts w:ascii="Garamond" w:hAnsi="Garamond"/>
        </w:rPr>
        <w:t>,</w:t>
      </w:r>
      <w:r w:rsidR="00071792" w:rsidRPr="00BB3AE1">
        <w:rPr>
          <w:rFonts w:ascii="Garamond" w:hAnsi="Garamond"/>
        </w:rPr>
        <w:t xml:space="preserve"> with the Na</w:t>
      </w:r>
      <w:r w:rsidR="00916B02">
        <w:rPr>
          <w:rFonts w:ascii="Garamond" w:hAnsi="Garamond"/>
        </w:rPr>
        <w:t>s</w:t>
      </w:r>
      <w:r w:rsidR="00071792" w:rsidRPr="00BB3AE1">
        <w:rPr>
          <w:rFonts w:ascii="Garamond" w:hAnsi="Garamond"/>
        </w:rPr>
        <w:t xml:space="preserve">daq Composite </w:t>
      </w:r>
      <w:r w:rsidR="00071792">
        <w:rPr>
          <w:rFonts w:ascii="Garamond" w:hAnsi="Garamond"/>
        </w:rPr>
        <w:t>Index reaching its all-time high exceeding the previous record high set in March 2000</w:t>
      </w:r>
      <w:r w:rsidR="00447551">
        <w:rPr>
          <w:rFonts w:ascii="Garamond" w:hAnsi="Garamond"/>
        </w:rPr>
        <w:t xml:space="preserve">. </w:t>
      </w:r>
      <w:r w:rsidR="00071792">
        <w:rPr>
          <w:rFonts w:ascii="Garamond" w:hAnsi="Garamond"/>
        </w:rPr>
        <w:t xml:space="preserve">In addition, oil prices continued their price gains of the </w:t>
      </w:r>
      <w:r w:rsidR="00071792" w:rsidRPr="00916B02">
        <w:rPr>
          <w:rFonts w:ascii="Garamond" w:hAnsi="Garamond"/>
        </w:rPr>
        <w:t xml:space="preserve">recent weeks. </w:t>
      </w:r>
      <w:r w:rsidR="00F95E4E" w:rsidRPr="00916B02">
        <w:rPr>
          <w:rFonts w:ascii="Garamond" w:hAnsi="Garamond"/>
        </w:rPr>
        <w:t xml:space="preserve">In effect, the Dow Jones Industrial Average and the NASDAQ Composite </w:t>
      </w:r>
      <w:r w:rsidR="00BB3AE1" w:rsidRPr="00916B02">
        <w:rPr>
          <w:rFonts w:ascii="Garamond" w:hAnsi="Garamond"/>
        </w:rPr>
        <w:t>increa</w:t>
      </w:r>
      <w:r w:rsidR="0058349C" w:rsidRPr="00916B02">
        <w:rPr>
          <w:rFonts w:ascii="Garamond" w:hAnsi="Garamond"/>
        </w:rPr>
        <w:t>sed</w:t>
      </w:r>
      <w:r w:rsidR="00EF1EF1" w:rsidRPr="00916B02">
        <w:rPr>
          <w:rFonts w:ascii="Garamond" w:hAnsi="Garamond"/>
        </w:rPr>
        <w:t xml:space="preserve"> on a weekly basis </w:t>
      </w:r>
      <w:r w:rsidR="0058349C" w:rsidRPr="00916B02">
        <w:rPr>
          <w:rFonts w:ascii="Garamond" w:hAnsi="Garamond"/>
        </w:rPr>
        <w:t>by</w:t>
      </w:r>
      <w:r w:rsidR="00F95E4E" w:rsidRPr="00916B02">
        <w:rPr>
          <w:rFonts w:ascii="Garamond" w:hAnsi="Garamond"/>
        </w:rPr>
        <w:t xml:space="preserve"> </w:t>
      </w:r>
      <w:r w:rsidR="00BB3AE1" w:rsidRPr="00916B02">
        <w:rPr>
          <w:rFonts w:ascii="Garamond" w:hAnsi="Garamond"/>
        </w:rPr>
        <w:t>1.42</w:t>
      </w:r>
      <w:r w:rsidR="0073094F" w:rsidRPr="00916B02">
        <w:rPr>
          <w:rFonts w:ascii="Garamond" w:hAnsi="Garamond"/>
        </w:rPr>
        <w:t>%</w:t>
      </w:r>
      <w:r w:rsidR="00916B02" w:rsidRPr="00916B02">
        <w:rPr>
          <w:rFonts w:ascii="Garamond" w:hAnsi="Garamond"/>
        </w:rPr>
        <w:t xml:space="preserve"> and 3.</w:t>
      </w:r>
      <w:r w:rsidR="00BB3AE1" w:rsidRPr="00916B02">
        <w:rPr>
          <w:rFonts w:ascii="Garamond" w:hAnsi="Garamond"/>
        </w:rPr>
        <w:t>2</w:t>
      </w:r>
      <w:r w:rsidR="00916B02" w:rsidRPr="00916B02">
        <w:rPr>
          <w:rFonts w:ascii="Garamond" w:hAnsi="Garamond"/>
        </w:rPr>
        <w:t>5</w:t>
      </w:r>
      <w:r w:rsidR="00BB3AE1" w:rsidRPr="00916B02">
        <w:rPr>
          <w:rFonts w:ascii="Garamond" w:hAnsi="Garamond"/>
        </w:rPr>
        <w:t>% respectively</w:t>
      </w:r>
      <w:r w:rsidR="0094546A" w:rsidRPr="00916B02">
        <w:rPr>
          <w:rFonts w:ascii="Garamond" w:hAnsi="Garamond"/>
        </w:rPr>
        <w:t>,</w:t>
      </w:r>
      <w:r w:rsidR="00F95E4E" w:rsidRPr="00916B02">
        <w:rPr>
          <w:rFonts w:ascii="Garamond" w:hAnsi="Garamond"/>
        </w:rPr>
        <w:t xml:space="preserve"> while the </w:t>
      </w:r>
      <w:r w:rsidR="0094546A" w:rsidRPr="00916B02">
        <w:rPr>
          <w:rFonts w:ascii="Garamond" w:hAnsi="Garamond"/>
        </w:rPr>
        <w:t xml:space="preserve">S&amp;P 500 </w:t>
      </w:r>
      <w:r w:rsidR="00BB3AE1" w:rsidRPr="00916B02">
        <w:rPr>
          <w:rFonts w:ascii="Garamond" w:hAnsi="Garamond"/>
        </w:rPr>
        <w:t>increased</w:t>
      </w:r>
      <w:r w:rsidR="004B22EF" w:rsidRPr="00916B02">
        <w:rPr>
          <w:rFonts w:ascii="Garamond" w:hAnsi="Garamond"/>
        </w:rPr>
        <w:t xml:space="preserve"> by</w:t>
      </w:r>
      <w:r w:rsidR="0094546A" w:rsidRPr="00916B02">
        <w:rPr>
          <w:rFonts w:ascii="Garamond" w:hAnsi="Garamond"/>
        </w:rPr>
        <w:t xml:space="preserve"> </w:t>
      </w:r>
      <w:r w:rsidR="00916B02" w:rsidRPr="00916B02">
        <w:rPr>
          <w:rFonts w:ascii="Garamond" w:hAnsi="Garamond"/>
        </w:rPr>
        <w:t>1.75</w:t>
      </w:r>
      <w:r w:rsidR="0094546A" w:rsidRPr="00916B02">
        <w:rPr>
          <w:rFonts w:ascii="Garamond" w:hAnsi="Garamond"/>
        </w:rPr>
        <w:t xml:space="preserve">% during the last week. Small cap stocks measured by the Russell 2000 index </w:t>
      </w:r>
      <w:r w:rsidR="004B22EF" w:rsidRPr="00916B02">
        <w:rPr>
          <w:rFonts w:ascii="Garamond" w:hAnsi="Garamond"/>
        </w:rPr>
        <w:t xml:space="preserve">also </w:t>
      </w:r>
      <w:r w:rsidR="00F74791" w:rsidRPr="00916B02">
        <w:rPr>
          <w:rFonts w:ascii="Garamond" w:hAnsi="Garamond"/>
        </w:rPr>
        <w:t xml:space="preserve">experienced </w:t>
      </w:r>
      <w:r w:rsidR="00916B02" w:rsidRPr="00916B02">
        <w:rPr>
          <w:rFonts w:ascii="Garamond" w:hAnsi="Garamond"/>
        </w:rPr>
        <w:t>gains</w:t>
      </w:r>
      <w:r w:rsidR="00F74791" w:rsidRPr="00916B02">
        <w:rPr>
          <w:rFonts w:ascii="Garamond" w:hAnsi="Garamond"/>
        </w:rPr>
        <w:t>, yielding</w:t>
      </w:r>
      <w:r w:rsidR="0094546A" w:rsidRPr="00916B02">
        <w:rPr>
          <w:rFonts w:ascii="Garamond" w:hAnsi="Garamond"/>
        </w:rPr>
        <w:t xml:space="preserve"> </w:t>
      </w:r>
      <w:r w:rsidR="00916B02" w:rsidRPr="00916B02">
        <w:rPr>
          <w:rFonts w:ascii="Garamond" w:hAnsi="Garamond"/>
        </w:rPr>
        <w:t>1.25</w:t>
      </w:r>
      <w:r w:rsidR="0094546A" w:rsidRPr="00916B02">
        <w:rPr>
          <w:rFonts w:ascii="Garamond" w:hAnsi="Garamond"/>
        </w:rPr>
        <w:t>%</w:t>
      </w:r>
      <w:r w:rsidR="00992714" w:rsidRPr="00916B02">
        <w:rPr>
          <w:rFonts w:ascii="Garamond" w:hAnsi="Garamond"/>
        </w:rPr>
        <w:t xml:space="preserve"> throughout the week</w:t>
      </w:r>
      <w:r w:rsidR="0094546A" w:rsidRPr="00916B02">
        <w:rPr>
          <w:rFonts w:ascii="Garamond" w:hAnsi="Garamond"/>
        </w:rPr>
        <w:t xml:space="preserve">. </w:t>
      </w:r>
      <w:r w:rsidR="00526CCE" w:rsidRPr="00916B02">
        <w:rPr>
          <w:rFonts w:ascii="Garamond" w:hAnsi="Garamond"/>
        </w:rPr>
        <w:t xml:space="preserve">The VIX week-to-date change of </w:t>
      </w:r>
      <w:r w:rsidR="00916B02" w:rsidRPr="00916B02">
        <w:rPr>
          <w:rFonts w:ascii="Garamond" w:hAnsi="Garamond"/>
        </w:rPr>
        <w:t>-11.52</w:t>
      </w:r>
      <w:r w:rsidR="00526CCE" w:rsidRPr="00916B02">
        <w:rPr>
          <w:rFonts w:ascii="Garamond" w:hAnsi="Garamond"/>
        </w:rPr>
        <w:t>% indicates that volatility levels</w:t>
      </w:r>
      <w:r w:rsidR="00AC1B73" w:rsidRPr="00916B02">
        <w:rPr>
          <w:rFonts w:ascii="Garamond" w:hAnsi="Garamond"/>
        </w:rPr>
        <w:t xml:space="preserve"> </w:t>
      </w:r>
      <w:r w:rsidR="004B22EF" w:rsidRPr="00916B02">
        <w:rPr>
          <w:rFonts w:ascii="Garamond" w:hAnsi="Garamond"/>
        </w:rPr>
        <w:t xml:space="preserve">start to </w:t>
      </w:r>
      <w:r w:rsidR="00916B02" w:rsidRPr="00916B02">
        <w:rPr>
          <w:rFonts w:ascii="Garamond" w:hAnsi="Garamond"/>
        </w:rPr>
        <w:t>de</w:t>
      </w:r>
      <w:r w:rsidR="004B22EF" w:rsidRPr="00916B02">
        <w:rPr>
          <w:rFonts w:ascii="Garamond" w:hAnsi="Garamond"/>
        </w:rPr>
        <w:t>crease again</w:t>
      </w:r>
      <w:r w:rsidR="00992714" w:rsidRPr="00916B02">
        <w:rPr>
          <w:rFonts w:ascii="Garamond" w:hAnsi="Garamond"/>
        </w:rPr>
        <w:t>,</w:t>
      </w:r>
      <w:r w:rsidR="001C0C02" w:rsidRPr="00916B02">
        <w:rPr>
          <w:rFonts w:ascii="Garamond" w:hAnsi="Garamond"/>
        </w:rPr>
        <w:t xml:space="preserve"> leading to a year-to-date change of -</w:t>
      </w:r>
      <w:r w:rsidR="00916B02" w:rsidRPr="00916B02">
        <w:rPr>
          <w:rFonts w:ascii="Garamond" w:hAnsi="Garamond"/>
        </w:rPr>
        <w:t>39.55</w:t>
      </w:r>
      <w:r w:rsidR="001C0C02" w:rsidRPr="00916B02">
        <w:rPr>
          <w:rFonts w:ascii="Garamond" w:hAnsi="Garamond"/>
        </w:rPr>
        <w:t xml:space="preserve">%. </w:t>
      </w:r>
      <w:r w:rsidR="00534791" w:rsidRPr="00916B02">
        <w:rPr>
          <w:rFonts w:ascii="Garamond" w:hAnsi="Garamond"/>
        </w:rPr>
        <w:t xml:space="preserve">The </w:t>
      </w:r>
      <w:r w:rsidR="00534791">
        <w:rPr>
          <w:rFonts w:ascii="Garamond" w:hAnsi="Garamond"/>
        </w:rPr>
        <w:t>yield of</w:t>
      </w:r>
      <w:r w:rsidR="003654A1" w:rsidRPr="000A6DE6">
        <w:rPr>
          <w:rFonts w:ascii="Garamond" w:hAnsi="Garamond"/>
        </w:rPr>
        <w:t xml:space="preserve"> the</w:t>
      </w:r>
      <w:r w:rsidR="00526CCE" w:rsidRPr="000A6DE6">
        <w:rPr>
          <w:rFonts w:ascii="Garamond" w:hAnsi="Garamond"/>
        </w:rPr>
        <w:t xml:space="preserve"> 10</w:t>
      </w:r>
      <w:r w:rsidR="003654A1" w:rsidRPr="000A6DE6">
        <w:rPr>
          <w:rFonts w:ascii="Garamond" w:hAnsi="Garamond"/>
        </w:rPr>
        <w:t>-</w:t>
      </w:r>
      <w:r w:rsidR="00526CCE" w:rsidRPr="000A6DE6">
        <w:rPr>
          <w:rFonts w:ascii="Garamond" w:hAnsi="Garamond"/>
        </w:rPr>
        <w:t xml:space="preserve">year </w:t>
      </w:r>
      <w:r w:rsidR="003654A1" w:rsidRPr="000A6DE6">
        <w:rPr>
          <w:rFonts w:ascii="Garamond" w:hAnsi="Garamond"/>
        </w:rPr>
        <w:t>U.S. T-n</w:t>
      </w:r>
      <w:r w:rsidR="00526CCE" w:rsidRPr="000A6DE6">
        <w:rPr>
          <w:rFonts w:ascii="Garamond" w:hAnsi="Garamond"/>
        </w:rPr>
        <w:t>ote</w:t>
      </w:r>
      <w:r w:rsidR="003654A1" w:rsidRPr="000A6DE6">
        <w:rPr>
          <w:rFonts w:ascii="Garamond" w:hAnsi="Garamond"/>
        </w:rPr>
        <w:t xml:space="preserve"> </w:t>
      </w:r>
      <w:r w:rsidR="004B22EF">
        <w:rPr>
          <w:rFonts w:ascii="Garamond" w:hAnsi="Garamond"/>
        </w:rPr>
        <w:t>de</w:t>
      </w:r>
      <w:r w:rsidR="008A489D">
        <w:rPr>
          <w:rFonts w:ascii="Garamond" w:hAnsi="Garamond"/>
        </w:rPr>
        <w:t>creased</w:t>
      </w:r>
      <w:r w:rsidR="003654A1" w:rsidRPr="000A6DE6">
        <w:rPr>
          <w:rFonts w:ascii="Garamond" w:hAnsi="Garamond"/>
        </w:rPr>
        <w:t xml:space="preserve"> by </w:t>
      </w:r>
      <w:r w:rsidR="00071792">
        <w:rPr>
          <w:rFonts w:ascii="Garamond" w:hAnsi="Garamond"/>
        </w:rPr>
        <w:t>6</w:t>
      </w:r>
      <w:r w:rsidR="003654A1" w:rsidRPr="000A6DE6">
        <w:rPr>
          <w:rFonts w:ascii="Garamond" w:hAnsi="Garamond"/>
        </w:rPr>
        <w:t xml:space="preserve"> basis points</w:t>
      </w:r>
      <w:r w:rsidR="008A489D">
        <w:rPr>
          <w:rFonts w:ascii="Garamond" w:hAnsi="Garamond"/>
        </w:rPr>
        <w:t xml:space="preserve"> </w:t>
      </w:r>
      <w:r w:rsidR="003654A1" w:rsidRPr="000A6DE6">
        <w:rPr>
          <w:rFonts w:ascii="Garamond" w:hAnsi="Garamond"/>
        </w:rPr>
        <w:t xml:space="preserve">to </w:t>
      </w:r>
      <w:r w:rsidR="00D84FBB">
        <w:rPr>
          <w:rFonts w:ascii="Garamond" w:hAnsi="Garamond"/>
        </w:rPr>
        <w:t>1.</w:t>
      </w:r>
      <w:r w:rsidR="00071792">
        <w:rPr>
          <w:rFonts w:ascii="Garamond" w:hAnsi="Garamond"/>
        </w:rPr>
        <w:t>93</w:t>
      </w:r>
      <w:r w:rsidR="00836878">
        <w:rPr>
          <w:rFonts w:ascii="Garamond" w:hAnsi="Garamond"/>
        </w:rPr>
        <w:t>%</w:t>
      </w:r>
      <w:r w:rsidR="00526CCE" w:rsidRPr="000A6DE6">
        <w:rPr>
          <w:rFonts w:ascii="Garamond" w:hAnsi="Garamond"/>
        </w:rPr>
        <w:t xml:space="preserve">. </w:t>
      </w:r>
      <w:r w:rsidR="003654A1" w:rsidRPr="00BB3AE1">
        <w:rPr>
          <w:rFonts w:ascii="Garamond" w:hAnsi="Garamond"/>
        </w:rPr>
        <w:t>In addition,</w:t>
      </w:r>
      <w:r w:rsidR="00526CCE" w:rsidRPr="00BB3AE1">
        <w:rPr>
          <w:rFonts w:ascii="Garamond" w:hAnsi="Garamond"/>
        </w:rPr>
        <w:t xml:space="preserve"> </w:t>
      </w:r>
      <w:r w:rsidR="00745500" w:rsidRPr="00BB3AE1">
        <w:rPr>
          <w:rFonts w:ascii="Garamond" w:hAnsi="Garamond"/>
        </w:rPr>
        <w:t xml:space="preserve">the price of </w:t>
      </w:r>
      <w:r w:rsidR="00526CCE" w:rsidRPr="00BB3AE1">
        <w:rPr>
          <w:rFonts w:ascii="Garamond" w:hAnsi="Garamond"/>
        </w:rPr>
        <w:t xml:space="preserve">oil </w:t>
      </w:r>
      <w:r w:rsidR="008A489D" w:rsidRPr="00BB3AE1">
        <w:rPr>
          <w:rFonts w:ascii="Garamond" w:hAnsi="Garamond"/>
        </w:rPr>
        <w:t>in</w:t>
      </w:r>
      <w:r w:rsidR="00992714" w:rsidRPr="00BB3AE1">
        <w:rPr>
          <w:rFonts w:ascii="Garamond" w:hAnsi="Garamond"/>
        </w:rPr>
        <w:t>creased</w:t>
      </w:r>
      <w:r w:rsidR="003C2C57" w:rsidRPr="00BB3AE1">
        <w:rPr>
          <w:rFonts w:ascii="Garamond" w:hAnsi="Garamond"/>
        </w:rPr>
        <w:t xml:space="preserve"> throughout the week</w:t>
      </w:r>
      <w:r w:rsidR="003E4F58" w:rsidRPr="00BB3AE1">
        <w:rPr>
          <w:rFonts w:ascii="Garamond" w:hAnsi="Garamond"/>
        </w:rPr>
        <w:t xml:space="preserve"> </w:t>
      </w:r>
      <w:r w:rsidR="003C2C57" w:rsidRPr="00BB3AE1">
        <w:rPr>
          <w:rFonts w:ascii="Garamond" w:hAnsi="Garamond"/>
        </w:rPr>
        <w:t xml:space="preserve">by </w:t>
      </w:r>
      <w:r w:rsidR="00540ED4" w:rsidRPr="00BB3AE1">
        <w:rPr>
          <w:rFonts w:ascii="Garamond" w:hAnsi="Garamond"/>
        </w:rPr>
        <w:t>2.</w:t>
      </w:r>
      <w:r w:rsidR="00BB3AE1" w:rsidRPr="00BB3AE1">
        <w:rPr>
          <w:rFonts w:ascii="Garamond" w:hAnsi="Garamond"/>
        </w:rPr>
        <w:t>53</w:t>
      </w:r>
      <w:r w:rsidR="003C2C57" w:rsidRPr="00BB3AE1">
        <w:rPr>
          <w:rFonts w:ascii="Garamond" w:hAnsi="Garamond"/>
        </w:rPr>
        <w:t xml:space="preserve">% </w:t>
      </w:r>
      <w:r w:rsidR="003E4F58" w:rsidRPr="00BB3AE1">
        <w:rPr>
          <w:rFonts w:ascii="Garamond" w:hAnsi="Garamond"/>
        </w:rPr>
        <w:t xml:space="preserve">to </w:t>
      </w:r>
      <w:r w:rsidR="00712DDA" w:rsidRPr="00BB3AE1">
        <w:rPr>
          <w:rFonts w:ascii="Garamond" w:hAnsi="Garamond"/>
        </w:rPr>
        <w:t>a price</w:t>
      </w:r>
      <w:r w:rsidR="003654A1" w:rsidRPr="00BB3AE1">
        <w:rPr>
          <w:rFonts w:ascii="Garamond" w:hAnsi="Garamond"/>
        </w:rPr>
        <w:t xml:space="preserve"> of $</w:t>
      </w:r>
      <w:r w:rsidR="00BB3AE1" w:rsidRPr="00BB3AE1">
        <w:rPr>
          <w:rFonts w:ascii="Garamond" w:hAnsi="Garamond"/>
        </w:rPr>
        <w:t>57.15</w:t>
      </w:r>
      <w:r w:rsidR="003C2C57" w:rsidRPr="00BB3AE1">
        <w:rPr>
          <w:rFonts w:ascii="Garamond" w:hAnsi="Garamond"/>
        </w:rPr>
        <w:t>/bbl</w:t>
      </w:r>
      <w:r w:rsidR="003E4F58" w:rsidRPr="00BB3AE1">
        <w:rPr>
          <w:rFonts w:ascii="Garamond" w:hAnsi="Garamond"/>
        </w:rPr>
        <w:t>.</w:t>
      </w:r>
      <w:r w:rsidR="003F5848" w:rsidRPr="00BB3AE1">
        <w:rPr>
          <w:rFonts w:ascii="Garamond" w:hAnsi="Garamond"/>
        </w:rPr>
        <w:t xml:space="preserve"> </w:t>
      </w:r>
    </w:p>
    <w:p w:rsidR="00B946FE" w:rsidRDefault="00F6411D" w:rsidP="00540ED4">
      <w:pPr>
        <w:contextualSpacing/>
        <w:jc w:val="both"/>
        <w:rPr>
          <w:rFonts w:ascii="Garamond" w:hAnsi="Garamond"/>
        </w:rPr>
      </w:pPr>
      <w:r w:rsidRPr="000A6DE6">
        <w:rPr>
          <w:rFonts w:ascii="Garamond" w:hAnsi="Garamond"/>
        </w:rPr>
        <w:t xml:space="preserve">This week’s </w:t>
      </w:r>
      <w:r w:rsidR="00F74791">
        <w:rPr>
          <w:rFonts w:ascii="Garamond" w:hAnsi="Garamond"/>
        </w:rPr>
        <w:t>market movements</w:t>
      </w:r>
      <w:r w:rsidRPr="000A6DE6">
        <w:rPr>
          <w:rFonts w:ascii="Garamond" w:hAnsi="Garamond"/>
        </w:rPr>
        <w:t xml:space="preserve"> w</w:t>
      </w:r>
      <w:r w:rsidR="00F74791">
        <w:rPr>
          <w:rFonts w:ascii="Garamond" w:hAnsi="Garamond"/>
        </w:rPr>
        <w:t>ere</w:t>
      </w:r>
      <w:r w:rsidRPr="000A6DE6">
        <w:rPr>
          <w:rFonts w:ascii="Garamond" w:hAnsi="Garamond"/>
        </w:rPr>
        <w:t xml:space="preserve"> primarily driven by </w:t>
      </w:r>
      <w:r w:rsidR="00540ED4">
        <w:rPr>
          <w:rFonts w:ascii="Garamond" w:hAnsi="Garamond"/>
        </w:rPr>
        <w:t>e</w:t>
      </w:r>
      <w:r w:rsidR="00071792">
        <w:rPr>
          <w:rFonts w:ascii="Garamond" w:hAnsi="Garamond"/>
        </w:rPr>
        <w:t xml:space="preserve">arnings reports </w:t>
      </w:r>
      <w:r w:rsidR="00540ED4">
        <w:rPr>
          <w:rFonts w:ascii="Garamond" w:hAnsi="Garamond"/>
        </w:rPr>
        <w:t xml:space="preserve">and </w:t>
      </w:r>
      <w:r w:rsidR="00071792">
        <w:rPr>
          <w:rFonts w:ascii="Garamond" w:hAnsi="Garamond"/>
        </w:rPr>
        <w:t>global economic news</w:t>
      </w:r>
      <w:r w:rsidR="007C46B0">
        <w:rPr>
          <w:rFonts w:ascii="Garamond" w:hAnsi="Garamond"/>
        </w:rPr>
        <w:t xml:space="preserve">. </w:t>
      </w:r>
      <w:r w:rsidR="00AF02E4">
        <w:rPr>
          <w:rFonts w:ascii="Garamond" w:hAnsi="Garamond"/>
        </w:rPr>
        <w:t xml:space="preserve">Currently being in first quarter earnings season, more than one third of S&amp;P 500 companies have already reported first quarter of 2015 earnings data. More than 70% have surprised on the upside although their profits have been suffering in the past months due to the strong U.S. dollar. In the past week multiple economic data has been released in the U.S. and globally. U.S. jobless claims have increased to 295,000 indicating current difficulties in the labor market caused by decreased business spending. </w:t>
      </w:r>
      <w:r w:rsidR="00277D80">
        <w:rPr>
          <w:rFonts w:ascii="Garamond" w:hAnsi="Garamond"/>
        </w:rPr>
        <w:t xml:space="preserve">Additionally, U.S. core durable goods orders have decreased for the seventh straight month. In March business equipment spending fell by 0.5%. </w:t>
      </w:r>
    </w:p>
    <w:p w:rsidR="00A5625E" w:rsidRDefault="00277D80" w:rsidP="00540ED4">
      <w:pPr>
        <w:contextualSpacing/>
        <w:jc w:val="both"/>
        <w:rPr>
          <w:rFonts w:ascii="Garamond" w:hAnsi="Garamond"/>
        </w:rPr>
      </w:pPr>
      <w:r>
        <w:rPr>
          <w:rFonts w:ascii="Garamond" w:hAnsi="Garamond"/>
        </w:rPr>
        <w:t xml:space="preserve">Internationally, </w:t>
      </w:r>
      <w:r w:rsidR="009E0759">
        <w:rPr>
          <w:rFonts w:ascii="Garamond" w:hAnsi="Garamond"/>
        </w:rPr>
        <w:t>the Reserve Bank of China has reduced its reserve ratio requirements by an additional 1% which equals the largest reduction in the history of the country. This move was caused by a continuing slowdown of China’s growth and will increase the economy’s liquidity. In addition, China’s manufacturing purchasing managers’ index decreased again</w:t>
      </w:r>
      <w:r w:rsidR="00BA6CA6">
        <w:rPr>
          <w:rFonts w:ascii="Garamond" w:hAnsi="Garamond"/>
        </w:rPr>
        <w:t xml:space="preserve"> in the month of March indicating continuing slowdown of China’s economy. </w:t>
      </w:r>
      <w:r w:rsidR="003D7B68">
        <w:rPr>
          <w:rFonts w:ascii="Garamond" w:hAnsi="Garamond"/>
        </w:rPr>
        <w:t>In April, the manufacturing sector of the Eurozone also experienced a slowdown after reaching an 11 month high in March. The upholding deb</w:t>
      </w:r>
      <w:r w:rsidR="00916B02">
        <w:rPr>
          <w:rFonts w:ascii="Garamond" w:hAnsi="Garamond"/>
        </w:rPr>
        <w:t>t crisis in Greece also causes</w:t>
      </w:r>
      <w:r w:rsidR="003D7B68">
        <w:rPr>
          <w:rFonts w:ascii="Garamond" w:hAnsi="Garamond"/>
        </w:rPr>
        <w:t xml:space="preserve"> lowered investor confidence in Europe.  </w:t>
      </w:r>
    </w:p>
    <w:p w:rsidR="00954E84" w:rsidRDefault="00954E84" w:rsidP="00550DBE">
      <w:pPr>
        <w:contextualSpacing/>
        <w:jc w:val="both"/>
        <w:rPr>
          <w:rFonts w:ascii="Garamond" w:hAnsi="Garamond"/>
        </w:rPr>
      </w:pPr>
    </w:p>
    <w:p w:rsidR="004744A3" w:rsidRPr="000A6DE6" w:rsidRDefault="00D73D6E" w:rsidP="00550DBE">
      <w:pPr>
        <w:contextualSpacing/>
        <w:jc w:val="both"/>
        <w:rPr>
          <w:rFonts w:ascii="Garamond" w:hAnsi="Garamond"/>
        </w:rPr>
      </w:pPr>
      <w:r w:rsidRPr="000A6DE6">
        <w:rPr>
          <w:rFonts w:ascii="Garamond" w:hAnsi="Garamond"/>
        </w:rPr>
        <w:t xml:space="preserve">Next week, investors will be looking forward to see data from different economic reports that </w:t>
      </w:r>
      <w:r w:rsidR="0024233C">
        <w:rPr>
          <w:rFonts w:ascii="Garamond" w:hAnsi="Garamond"/>
        </w:rPr>
        <w:t xml:space="preserve">will have an impact on the </w:t>
      </w:r>
      <w:r w:rsidR="00891405">
        <w:rPr>
          <w:rFonts w:ascii="Garamond" w:hAnsi="Garamond"/>
        </w:rPr>
        <w:t xml:space="preserve">global </w:t>
      </w:r>
      <w:r w:rsidR="0045475F">
        <w:rPr>
          <w:rFonts w:ascii="Garamond" w:hAnsi="Garamond"/>
        </w:rPr>
        <w:t xml:space="preserve">markets. On </w:t>
      </w:r>
      <w:r w:rsidR="003D7B68">
        <w:rPr>
          <w:rFonts w:ascii="Garamond" w:hAnsi="Garamond"/>
        </w:rPr>
        <w:t>Tuesday 28</w:t>
      </w:r>
      <w:r w:rsidR="005E76FF">
        <w:rPr>
          <w:rFonts w:ascii="Garamond" w:hAnsi="Garamond"/>
          <w:vertAlign w:val="superscript"/>
        </w:rPr>
        <w:t>th</w:t>
      </w:r>
      <w:r w:rsidR="005E76FF">
        <w:rPr>
          <w:rFonts w:ascii="Garamond" w:hAnsi="Garamond"/>
        </w:rPr>
        <w:t xml:space="preserve">, </w:t>
      </w:r>
      <w:r w:rsidR="00A61D35">
        <w:rPr>
          <w:rFonts w:ascii="Garamond" w:hAnsi="Garamond"/>
        </w:rPr>
        <w:t>Great Britain will report on their economy’s Gross Domestic Product (</w:t>
      </w:r>
      <w:proofErr w:type="spellStart"/>
      <w:r w:rsidR="00A61D35">
        <w:rPr>
          <w:rFonts w:ascii="Garamond" w:hAnsi="Garamond"/>
        </w:rPr>
        <w:t>QoQ</w:t>
      </w:r>
      <w:proofErr w:type="spellEnd"/>
      <w:r w:rsidR="00A61D35">
        <w:rPr>
          <w:rFonts w:ascii="Garamond" w:hAnsi="Garamond"/>
        </w:rPr>
        <w:t>) and (</w:t>
      </w:r>
      <w:proofErr w:type="spellStart"/>
      <w:r w:rsidR="00A61D35">
        <w:rPr>
          <w:rFonts w:ascii="Garamond" w:hAnsi="Garamond"/>
        </w:rPr>
        <w:t>YoY</w:t>
      </w:r>
      <w:proofErr w:type="spellEnd"/>
      <w:r w:rsidR="00A61D35">
        <w:rPr>
          <w:rFonts w:ascii="Garamond" w:hAnsi="Garamond"/>
        </w:rPr>
        <w:t>) (Q1)</w:t>
      </w:r>
      <w:r w:rsidR="005E76FF">
        <w:rPr>
          <w:rFonts w:ascii="Garamond" w:hAnsi="Garamond"/>
        </w:rPr>
        <w:t xml:space="preserve">. </w:t>
      </w:r>
      <w:r w:rsidR="00A61D35">
        <w:rPr>
          <w:rFonts w:ascii="Garamond" w:hAnsi="Garamond"/>
        </w:rPr>
        <w:t xml:space="preserve">On the same day, the governor of the Bank of Canada Stephen </w:t>
      </w:r>
      <w:proofErr w:type="spellStart"/>
      <w:r w:rsidR="00A61D35">
        <w:rPr>
          <w:rFonts w:ascii="Garamond" w:hAnsi="Garamond"/>
        </w:rPr>
        <w:t>Poloz</w:t>
      </w:r>
      <w:proofErr w:type="spellEnd"/>
      <w:r w:rsidR="00A61D35">
        <w:rPr>
          <w:rFonts w:ascii="Garamond" w:hAnsi="Garamond"/>
        </w:rPr>
        <w:t xml:space="preserve"> is expected to speak about the control of the </w:t>
      </w:r>
      <w:r w:rsidR="00916B02">
        <w:rPr>
          <w:rFonts w:ascii="Garamond" w:hAnsi="Garamond"/>
        </w:rPr>
        <w:t>countr</w:t>
      </w:r>
      <w:r w:rsidR="00A61D35">
        <w:rPr>
          <w:rFonts w:ascii="Garamond" w:hAnsi="Garamond"/>
        </w:rPr>
        <w:t xml:space="preserve">y’s short term interest rate. </w:t>
      </w:r>
      <w:r w:rsidR="005E76FF">
        <w:rPr>
          <w:rFonts w:ascii="Garamond" w:hAnsi="Garamond"/>
        </w:rPr>
        <w:t xml:space="preserve">On </w:t>
      </w:r>
      <w:r w:rsidR="00A61D35">
        <w:rPr>
          <w:rFonts w:ascii="Garamond" w:hAnsi="Garamond"/>
        </w:rPr>
        <w:t>Wednesday 29</w:t>
      </w:r>
      <w:r w:rsidR="00A61D35">
        <w:rPr>
          <w:rFonts w:ascii="Garamond" w:hAnsi="Garamond"/>
          <w:vertAlign w:val="superscript"/>
        </w:rPr>
        <w:t>th</w:t>
      </w:r>
      <w:r w:rsidR="00A61D35">
        <w:rPr>
          <w:rFonts w:ascii="Garamond" w:hAnsi="Garamond"/>
        </w:rPr>
        <w:t>,</w:t>
      </w:r>
      <w:r w:rsidR="00584FC4">
        <w:rPr>
          <w:rFonts w:ascii="Garamond" w:hAnsi="Garamond"/>
        </w:rPr>
        <w:t xml:space="preserve"> </w:t>
      </w:r>
      <w:r w:rsidR="00A61D35">
        <w:rPr>
          <w:rFonts w:ascii="Garamond" w:hAnsi="Garamond"/>
        </w:rPr>
        <w:t>the Reserve Bank of New Zealand governor decides on where to set interest rates. On Thursday 30</w:t>
      </w:r>
      <w:r w:rsidR="00A61D35" w:rsidRPr="00A61D35">
        <w:rPr>
          <w:rFonts w:ascii="Garamond" w:hAnsi="Garamond"/>
          <w:vertAlign w:val="superscript"/>
        </w:rPr>
        <w:t>th</w:t>
      </w:r>
      <w:r w:rsidR="00A61D35">
        <w:rPr>
          <w:rFonts w:ascii="Garamond" w:hAnsi="Garamond"/>
        </w:rPr>
        <w:t xml:space="preserve">, the Bank of Japan </w:t>
      </w:r>
      <w:r w:rsidR="00B24E78">
        <w:rPr>
          <w:rFonts w:ascii="Garamond" w:hAnsi="Garamond"/>
        </w:rPr>
        <w:t>will hold a press conference reporting on the overall economic outlook, inflation and insights about the upcoming interest rate decisions. On the same day, Germany will report on their country’s unemployment change (Apr). In addition, the European Central Bank will report on the Eurozone’s Consumer Price Index changes (</w:t>
      </w:r>
      <w:proofErr w:type="spellStart"/>
      <w:r w:rsidR="00B24E78">
        <w:rPr>
          <w:rFonts w:ascii="Garamond" w:hAnsi="Garamond"/>
        </w:rPr>
        <w:t>YoY</w:t>
      </w:r>
      <w:proofErr w:type="spellEnd"/>
      <w:r w:rsidR="00B24E78">
        <w:rPr>
          <w:rFonts w:ascii="Garamond" w:hAnsi="Garamond"/>
        </w:rPr>
        <w:t>) (Apr). The same day, Russia will decide on changing their economy’s short term interest rates. Additionally, Canada will report on the country’s Gross Domestic Product (</w:t>
      </w:r>
      <w:proofErr w:type="spellStart"/>
      <w:r w:rsidR="00B24E78">
        <w:rPr>
          <w:rFonts w:ascii="Garamond" w:hAnsi="Garamond"/>
        </w:rPr>
        <w:t>MoM</w:t>
      </w:r>
      <w:proofErr w:type="spellEnd"/>
      <w:r w:rsidR="00B24E78">
        <w:rPr>
          <w:rFonts w:ascii="Garamond" w:hAnsi="Garamond"/>
        </w:rPr>
        <w:t xml:space="preserve">) (Feb). </w:t>
      </w:r>
    </w:p>
    <w:sectPr w:rsidR="004744A3" w:rsidRPr="000A6DE6" w:rsidSect="00EB3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7147F"/>
    <w:multiLevelType w:val="hybridMultilevel"/>
    <w:tmpl w:val="12DCE288"/>
    <w:lvl w:ilvl="0" w:tplc="733C2C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C1"/>
    <w:rsid w:val="000521D3"/>
    <w:rsid w:val="00071792"/>
    <w:rsid w:val="000870AC"/>
    <w:rsid w:val="000A6DE6"/>
    <w:rsid w:val="000D04D6"/>
    <w:rsid w:val="000D6ADB"/>
    <w:rsid w:val="000E75FB"/>
    <w:rsid w:val="000F460F"/>
    <w:rsid w:val="00176317"/>
    <w:rsid w:val="00192982"/>
    <w:rsid w:val="001A3122"/>
    <w:rsid w:val="001C0C02"/>
    <w:rsid w:val="00202E36"/>
    <w:rsid w:val="002233C1"/>
    <w:rsid w:val="00233E80"/>
    <w:rsid w:val="0024233C"/>
    <w:rsid w:val="002445B0"/>
    <w:rsid w:val="00277D80"/>
    <w:rsid w:val="00282257"/>
    <w:rsid w:val="0029252F"/>
    <w:rsid w:val="002A53CB"/>
    <w:rsid w:val="002E4BD6"/>
    <w:rsid w:val="002E5AC1"/>
    <w:rsid w:val="00310057"/>
    <w:rsid w:val="00310538"/>
    <w:rsid w:val="00316AEF"/>
    <w:rsid w:val="00324A6D"/>
    <w:rsid w:val="00356C5A"/>
    <w:rsid w:val="003654A1"/>
    <w:rsid w:val="003C2C57"/>
    <w:rsid w:val="003C7A9D"/>
    <w:rsid w:val="003D18A1"/>
    <w:rsid w:val="003D430F"/>
    <w:rsid w:val="003D7B68"/>
    <w:rsid w:val="003E029D"/>
    <w:rsid w:val="003E4F58"/>
    <w:rsid w:val="003F5848"/>
    <w:rsid w:val="00447551"/>
    <w:rsid w:val="0045340A"/>
    <w:rsid w:val="0045475F"/>
    <w:rsid w:val="00455FD6"/>
    <w:rsid w:val="00460A22"/>
    <w:rsid w:val="00472A54"/>
    <w:rsid w:val="004744A3"/>
    <w:rsid w:val="00476B85"/>
    <w:rsid w:val="004A20C2"/>
    <w:rsid w:val="004A6339"/>
    <w:rsid w:val="004B22EF"/>
    <w:rsid w:val="004B4937"/>
    <w:rsid w:val="004C4C1E"/>
    <w:rsid w:val="00503B6B"/>
    <w:rsid w:val="00504395"/>
    <w:rsid w:val="00526CCE"/>
    <w:rsid w:val="00534791"/>
    <w:rsid w:val="00540ED4"/>
    <w:rsid w:val="00542260"/>
    <w:rsid w:val="00542C1E"/>
    <w:rsid w:val="00550DBE"/>
    <w:rsid w:val="00582F4B"/>
    <w:rsid w:val="0058349C"/>
    <w:rsid w:val="0058375A"/>
    <w:rsid w:val="00584FC4"/>
    <w:rsid w:val="00585755"/>
    <w:rsid w:val="005D56CA"/>
    <w:rsid w:val="005E76FF"/>
    <w:rsid w:val="005F7964"/>
    <w:rsid w:val="00630D45"/>
    <w:rsid w:val="0066746B"/>
    <w:rsid w:val="0069389F"/>
    <w:rsid w:val="006A7B31"/>
    <w:rsid w:val="00704C21"/>
    <w:rsid w:val="00712DDA"/>
    <w:rsid w:val="007216F6"/>
    <w:rsid w:val="0073094F"/>
    <w:rsid w:val="00745500"/>
    <w:rsid w:val="00756F06"/>
    <w:rsid w:val="00773F5A"/>
    <w:rsid w:val="007C46B0"/>
    <w:rsid w:val="00800FAD"/>
    <w:rsid w:val="00836878"/>
    <w:rsid w:val="008430D2"/>
    <w:rsid w:val="00855778"/>
    <w:rsid w:val="00876ED0"/>
    <w:rsid w:val="00891405"/>
    <w:rsid w:val="008A1504"/>
    <w:rsid w:val="008A489D"/>
    <w:rsid w:val="008C583B"/>
    <w:rsid w:val="00903617"/>
    <w:rsid w:val="00910027"/>
    <w:rsid w:val="00910308"/>
    <w:rsid w:val="00916B02"/>
    <w:rsid w:val="00926DA1"/>
    <w:rsid w:val="0094546A"/>
    <w:rsid w:val="0095358C"/>
    <w:rsid w:val="00953FF8"/>
    <w:rsid w:val="00954E84"/>
    <w:rsid w:val="00961874"/>
    <w:rsid w:val="00992714"/>
    <w:rsid w:val="009A703C"/>
    <w:rsid w:val="009D1585"/>
    <w:rsid w:val="009E0759"/>
    <w:rsid w:val="009F32BF"/>
    <w:rsid w:val="00A12C20"/>
    <w:rsid w:val="00A15921"/>
    <w:rsid w:val="00A24576"/>
    <w:rsid w:val="00A24FEE"/>
    <w:rsid w:val="00A5625E"/>
    <w:rsid w:val="00A5696A"/>
    <w:rsid w:val="00A61D35"/>
    <w:rsid w:val="00AA6A6B"/>
    <w:rsid w:val="00AC1B73"/>
    <w:rsid w:val="00AE6E2D"/>
    <w:rsid w:val="00AE7EA0"/>
    <w:rsid w:val="00AF02E4"/>
    <w:rsid w:val="00B218A5"/>
    <w:rsid w:val="00B24E78"/>
    <w:rsid w:val="00B946FE"/>
    <w:rsid w:val="00BA6CA6"/>
    <w:rsid w:val="00BA6E6C"/>
    <w:rsid w:val="00BB3AE1"/>
    <w:rsid w:val="00BD1773"/>
    <w:rsid w:val="00C12492"/>
    <w:rsid w:val="00C26BDA"/>
    <w:rsid w:val="00C51DC0"/>
    <w:rsid w:val="00C770C7"/>
    <w:rsid w:val="00CA5A58"/>
    <w:rsid w:val="00CC49B6"/>
    <w:rsid w:val="00CD1D8F"/>
    <w:rsid w:val="00CF10EA"/>
    <w:rsid w:val="00D053C3"/>
    <w:rsid w:val="00D26302"/>
    <w:rsid w:val="00D365FE"/>
    <w:rsid w:val="00D47D5B"/>
    <w:rsid w:val="00D62FEE"/>
    <w:rsid w:val="00D73D6E"/>
    <w:rsid w:val="00D84FBB"/>
    <w:rsid w:val="00DC0390"/>
    <w:rsid w:val="00DC1710"/>
    <w:rsid w:val="00DC2304"/>
    <w:rsid w:val="00DC2BE1"/>
    <w:rsid w:val="00DC3F77"/>
    <w:rsid w:val="00DC6A59"/>
    <w:rsid w:val="00DD5520"/>
    <w:rsid w:val="00DF465E"/>
    <w:rsid w:val="00E00B9E"/>
    <w:rsid w:val="00E33C3D"/>
    <w:rsid w:val="00E41376"/>
    <w:rsid w:val="00E72D3A"/>
    <w:rsid w:val="00E77FF4"/>
    <w:rsid w:val="00E92C98"/>
    <w:rsid w:val="00EB3E6D"/>
    <w:rsid w:val="00ED05FA"/>
    <w:rsid w:val="00EF1EF1"/>
    <w:rsid w:val="00F53BF6"/>
    <w:rsid w:val="00F6411D"/>
    <w:rsid w:val="00F74791"/>
    <w:rsid w:val="00F849CB"/>
    <w:rsid w:val="00F95E4E"/>
    <w:rsid w:val="00FB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5FB"/>
    <w:pPr>
      <w:ind w:left="720"/>
      <w:contextualSpacing/>
    </w:pPr>
  </w:style>
  <w:style w:type="paragraph" w:styleId="BalloonText">
    <w:name w:val="Balloon Text"/>
    <w:basedOn w:val="Normal"/>
    <w:link w:val="BalloonTextChar"/>
    <w:uiPriority w:val="99"/>
    <w:semiHidden/>
    <w:unhideWhenUsed/>
    <w:rsid w:val="00A1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21"/>
    <w:rPr>
      <w:rFonts w:ascii="Tahoma" w:hAnsi="Tahoma" w:cs="Tahoma"/>
      <w:sz w:val="16"/>
      <w:szCs w:val="16"/>
    </w:rPr>
  </w:style>
  <w:style w:type="character" w:customStyle="1" w:styleId="apple-converted-space">
    <w:name w:val="apple-converted-space"/>
    <w:basedOn w:val="DefaultParagraphFont"/>
    <w:rsid w:val="00584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5FB"/>
    <w:pPr>
      <w:ind w:left="720"/>
      <w:contextualSpacing/>
    </w:pPr>
  </w:style>
  <w:style w:type="paragraph" w:styleId="BalloonText">
    <w:name w:val="Balloon Text"/>
    <w:basedOn w:val="Normal"/>
    <w:link w:val="BalloonTextChar"/>
    <w:uiPriority w:val="99"/>
    <w:semiHidden/>
    <w:unhideWhenUsed/>
    <w:rsid w:val="00A1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21"/>
    <w:rPr>
      <w:rFonts w:ascii="Tahoma" w:hAnsi="Tahoma" w:cs="Tahoma"/>
      <w:sz w:val="16"/>
      <w:szCs w:val="16"/>
    </w:rPr>
  </w:style>
  <w:style w:type="character" w:customStyle="1" w:styleId="apple-converted-space">
    <w:name w:val="apple-converted-space"/>
    <w:basedOn w:val="DefaultParagraphFont"/>
    <w:rsid w:val="00584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Weddig, Nils</dc:creator>
  <cp:lastModifiedBy>Tyler</cp:lastModifiedBy>
  <cp:revision>2</cp:revision>
  <dcterms:created xsi:type="dcterms:W3CDTF">2015-04-27T20:47:00Z</dcterms:created>
  <dcterms:modified xsi:type="dcterms:W3CDTF">2015-04-27T20:47:00Z</dcterms:modified>
</cp:coreProperties>
</file>