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
        <w:tblW w:w="9637" w:type="dxa"/>
        <w:tblLayout w:type="fixed"/>
        <w:tblLook w:val="04A0" w:firstRow="1" w:lastRow="0" w:firstColumn="1" w:lastColumn="0" w:noHBand="0" w:noVBand="1"/>
      </w:tblPr>
      <w:tblGrid>
        <w:gridCol w:w="1286"/>
        <w:gridCol w:w="815"/>
        <w:gridCol w:w="5525"/>
        <w:gridCol w:w="1087"/>
        <w:gridCol w:w="924"/>
      </w:tblGrid>
      <w:tr w:rsidR="001021DB" w:rsidTr="005A400D">
        <w:trPr>
          <w:trHeight w:val="151"/>
        </w:trPr>
        <w:tc>
          <w:tcPr>
            <w:tcW w:w="1286" w:type="dxa"/>
          </w:tcPr>
          <w:p w:rsidR="00175F41" w:rsidRPr="003764DD" w:rsidRDefault="00175F41" w:rsidP="008B76BC">
            <w:pPr>
              <w:rPr>
                <w:b/>
                <w:sz w:val="18"/>
                <w:szCs w:val="18"/>
              </w:rPr>
            </w:pPr>
            <w:bookmarkStart w:id="0" w:name="_GoBack"/>
            <w:bookmarkEnd w:id="0"/>
            <w:r w:rsidRPr="003764DD">
              <w:rPr>
                <w:b/>
                <w:sz w:val="18"/>
                <w:szCs w:val="18"/>
              </w:rPr>
              <w:t>Stock</w:t>
            </w:r>
          </w:p>
        </w:tc>
        <w:tc>
          <w:tcPr>
            <w:tcW w:w="815" w:type="dxa"/>
          </w:tcPr>
          <w:p w:rsidR="00175F41" w:rsidRPr="00D03B56" w:rsidRDefault="00162AD6" w:rsidP="008B76BC">
            <w:pPr>
              <w:jc w:val="center"/>
              <w:rPr>
                <w:rFonts w:ascii="Garamond" w:hAnsi="Garamond"/>
                <w:b/>
                <w:sz w:val="18"/>
                <w:szCs w:val="18"/>
              </w:rPr>
            </w:pPr>
            <w:r>
              <w:rPr>
                <w:rFonts w:ascii="Garamond" w:hAnsi="Garamond"/>
                <w:b/>
                <w:sz w:val="18"/>
                <w:szCs w:val="18"/>
              </w:rPr>
              <w:t>Buy/ Short</w:t>
            </w:r>
          </w:p>
        </w:tc>
        <w:tc>
          <w:tcPr>
            <w:tcW w:w="5525"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Thesis</w:t>
            </w:r>
          </w:p>
        </w:tc>
        <w:tc>
          <w:tcPr>
            <w:tcW w:w="1087" w:type="dxa"/>
          </w:tcPr>
          <w:p w:rsidR="00175F41" w:rsidRPr="00D03B56" w:rsidRDefault="00175F41" w:rsidP="008B76BC">
            <w:pPr>
              <w:jc w:val="center"/>
              <w:rPr>
                <w:rFonts w:ascii="Garamond" w:hAnsi="Garamond"/>
                <w:b/>
                <w:sz w:val="18"/>
                <w:szCs w:val="18"/>
              </w:rPr>
            </w:pPr>
            <w:r w:rsidRPr="00D03B56">
              <w:rPr>
                <w:rFonts w:ascii="Garamond" w:hAnsi="Garamond"/>
                <w:b/>
                <w:sz w:val="18"/>
                <w:szCs w:val="18"/>
              </w:rPr>
              <w:t>Current Price</w:t>
            </w:r>
          </w:p>
        </w:tc>
        <w:tc>
          <w:tcPr>
            <w:tcW w:w="924" w:type="dxa"/>
          </w:tcPr>
          <w:p w:rsidR="00175F41" w:rsidRPr="000E1D6D" w:rsidRDefault="00175F41" w:rsidP="008B76BC">
            <w:pPr>
              <w:jc w:val="center"/>
              <w:rPr>
                <w:rFonts w:ascii="Times" w:hAnsi="Times" w:cs="Times"/>
                <w:sz w:val="20"/>
                <w:szCs w:val="18"/>
              </w:rPr>
            </w:pPr>
            <w:r w:rsidRPr="00D03B56">
              <w:rPr>
                <w:rFonts w:ascii="Garamond" w:hAnsi="Garamond"/>
                <w:b/>
                <w:sz w:val="18"/>
                <w:szCs w:val="18"/>
              </w:rPr>
              <w:t>Target Price</w:t>
            </w:r>
          </w:p>
        </w:tc>
      </w:tr>
      <w:tr w:rsidR="001021DB" w:rsidTr="005A400D">
        <w:trPr>
          <w:trHeight w:val="151"/>
        </w:trPr>
        <w:tc>
          <w:tcPr>
            <w:tcW w:w="1286" w:type="dxa"/>
          </w:tcPr>
          <w:p w:rsidR="000E1D6D" w:rsidRPr="000E1D6D" w:rsidRDefault="000E1D6D" w:rsidP="000E1D6D">
            <w:pPr>
              <w:pStyle w:val="Default"/>
              <w:rPr>
                <w:rFonts w:ascii="Times New Roman" w:hAnsi="Times New Roman" w:cs="Times New Roman"/>
                <w:sz w:val="20"/>
                <w:szCs w:val="20"/>
              </w:rPr>
            </w:pPr>
          </w:p>
          <w:p w:rsidR="003764DD" w:rsidRDefault="000E1D6D" w:rsidP="008B76BC">
            <w:pPr>
              <w:rPr>
                <w:sz w:val="18"/>
                <w:szCs w:val="18"/>
              </w:rPr>
            </w:pPr>
            <w:r>
              <w:rPr>
                <w:sz w:val="18"/>
                <w:szCs w:val="18"/>
              </w:rPr>
              <w:t>Breeze-Eastern Corp.</w:t>
            </w:r>
          </w:p>
          <w:p w:rsidR="000E1D6D" w:rsidRPr="000E1D6D" w:rsidRDefault="000E1D6D" w:rsidP="008B76BC">
            <w:pPr>
              <w:rPr>
                <w:sz w:val="18"/>
                <w:szCs w:val="18"/>
              </w:rPr>
            </w:pPr>
            <w:r>
              <w:rPr>
                <w:sz w:val="18"/>
                <w:szCs w:val="18"/>
              </w:rPr>
              <w:t>$BZC</w:t>
            </w:r>
          </w:p>
        </w:tc>
        <w:tc>
          <w:tcPr>
            <w:tcW w:w="815" w:type="dxa"/>
          </w:tcPr>
          <w:p w:rsidR="00175F41" w:rsidRPr="00C820FA" w:rsidRDefault="00162AD6"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0E1D6D" w:rsidRPr="000E1D6D" w:rsidRDefault="000E1D6D" w:rsidP="000E1D6D">
            <w:pPr>
              <w:pStyle w:val="Default"/>
              <w:rPr>
                <w:sz w:val="18"/>
              </w:rPr>
            </w:pPr>
            <w:r w:rsidRPr="000E1D6D">
              <w:rPr>
                <w:sz w:val="16"/>
                <w:szCs w:val="22"/>
              </w:rPr>
              <w:t xml:space="preserve">Breeze-Eastern is operating in a market with no existing competition, which allows them to fully take advantage of the market trends. Additionally, the new management team has been able to reduce the debt to zero while increasing margins. The recent </w:t>
            </w:r>
            <w:proofErr w:type="gramStart"/>
            <w:r w:rsidRPr="000E1D6D">
              <w:rPr>
                <w:sz w:val="16"/>
                <w:szCs w:val="22"/>
              </w:rPr>
              <w:t>forecast are</w:t>
            </w:r>
            <w:proofErr w:type="gramEnd"/>
            <w:r w:rsidRPr="000E1D6D">
              <w:rPr>
                <w:sz w:val="16"/>
                <w:szCs w:val="22"/>
              </w:rPr>
              <w:t xml:space="preserve"> more bullish than what they were a year ago, which means that the firm is going to increase its revenues and its margins. Another interesting factor is the very light coverage that the company has, which is a sign of undervaluation in this case. </w:t>
            </w:r>
          </w:p>
          <w:p w:rsidR="00175F41" w:rsidRPr="00E9058C" w:rsidRDefault="00175F41" w:rsidP="003764DD">
            <w:pPr>
              <w:rPr>
                <w:rFonts w:ascii="Garamond" w:eastAsia="Times New Roman" w:hAnsi="Garamond" w:cs="Times New Roman"/>
                <w:sz w:val="16"/>
                <w:szCs w:val="16"/>
              </w:rPr>
            </w:pPr>
          </w:p>
        </w:tc>
        <w:tc>
          <w:tcPr>
            <w:tcW w:w="1087" w:type="dxa"/>
          </w:tcPr>
          <w:p w:rsidR="00175F41" w:rsidRPr="00C820FA" w:rsidRDefault="00175F41" w:rsidP="008B76BC">
            <w:pPr>
              <w:jc w:val="center"/>
              <w:rPr>
                <w:rFonts w:ascii="Garamond" w:hAnsi="Garamond"/>
                <w:sz w:val="20"/>
                <w:szCs w:val="20"/>
              </w:rPr>
            </w:pPr>
            <w:r w:rsidRPr="00C820FA">
              <w:rPr>
                <w:rFonts w:ascii="Garamond" w:hAnsi="Garamond"/>
                <w:sz w:val="20"/>
                <w:szCs w:val="20"/>
              </w:rPr>
              <w:t>$</w:t>
            </w:r>
            <w:r w:rsidR="000E1D6D">
              <w:rPr>
                <w:rFonts w:ascii="Garamond" w:hAnsi="Garamond"/>
                <w:sz w:val="20"/>
                <w:szCs w:val="20"/>
              </w:rPr>
              <w:t>10.07</w:t>
            </w:r>
          </w:p>
          <w:p w:rsidR="00175F41" w:rsidRPr="00C820FA" w:rsidRDefault="00175F41" w:rsidP="008B76BC">
            <w:pPr>
              <w:jc w:val="center"/>
              <w:rPr>
                <w:rFonts w:ascii="Garamond" w:hAnsi="Garamond"/>
                <w:sz w:val="20"/>
                <w:szCs w:val="20"/>
              </w:rPr>
            </w:pPr>
          </w:p>
        </w:tc>
        <w:tc>
          <w:tcPr>
            <w:tcW w:w="924" w:type="dxa"/>
          </w:tcPr>
          <w:p w:rsidR="00175F41" w:rsidRPr="00C820FA" w:rsidRDefault="000E1D6D" w:rsidP="008B76BC">
            <w:pPr>
              <w:jc w:val="center"/>
              <w:rPr>
                <w:rFonts w:ascii="Garamond" w:hAnsi="Garamond"/>
                <w:sz w:val="20"/>
                <w:szCs w:val="20"/>
              </w:rPr>
            </w:pPr>
            <w:r>
              <w:rPr>
                <w:rFonts w:ascii="Garamond" w:hAnsi="Garamond"/>
                <w:sz w:val="20"/>
                <w:szCs w:val="20"/>
              </w:rPr>
              <w:t>$15.56</w:t>
            </w:r>
          </w:p>
          <w:p w:rsidR="00175F41" w:rsidRPr="00C820FA" w:rsidRDefault="00175F41" w:rsidP="008B76BC">
            <w:pPr>
              <w:jc w:val="center"/>
              <w:rPr>
                <w:rFonts w:ascii="Garamond" w:hAnsi="Garamond"/>
                <w:sz w:val="20"/>
                <w:szCs w:val="20"/>
              </w:rPr>
            </w:pPr>
          </w:p>
        </w:tc>
      </w:tr>
      <w:tr w:rsidR="001021DB" w:rsidTr="005A400D">
        <w:trPr>
          <w:trHeight w:val="151"/>
        </w:trPr>
        <w:tc>
          <w:tcPr>
            <w:tcW w:w="1286" w:type="dxa"/>
          </w:tcPr>
          <w:p w:rsidR="003764DD" w:rsidRPr="000E1D6D" w:rsidRDefault="000E1D6D" w:rsidP="008B76BC">
            <w:pPr>
              <w:rPr>
                <w:rFonts w:eastAsia="Times New Roman" w:cs="Times New Roman"/>
                <w:sz w:val="18"/>
                <w:szCs w:val="20"/>
              </w:rPr>
            </w:pPr>
            <w:proofErr w:type="spellStart"/>
            <w:r w:rsidRPr="000E1D6D">
              <w:rPr>
                <w:rFonts w:eastAsia="Times New Roman" w:cs="Times New Roman"/>
                <w:sz w:val="18"/>
                <w:szCs w:val="20"/>
              </w:rPr>
              <w:t>Chegg</w:t>
            </w:r>
            <w:proofErr w:type="spellEnd"/>
            <w:r w:rsidRPr="000E1D6D">
              <w:rPr>
                <w:rFonts w:eastAsia="Times New Roman" w:cs="Times New Roman"/>
                <w:sz w:val="18"/>
                <w:szCs w:val="20"/>
              </w:rPr>
              <w:t xml:space="preserve"> Inc.</w:t>
            </w:r>
          </w:p>
          <w:p w:rsidR="000E1D6D" w:rsidRPr="00175F41" w:rsidRDefault="000E1D6D" w:rsidP="008B76BC">
            <w:pPr>
              <w:rPr>
                <w:sz w:val="18"/>
                <w:szCs w:val="18"/>
              </w:rPr>
            </w:pPr>
            <w:r w:rsidRPr="000E1D6D">
              <w:rPr>
                <w:rFonts w:eastAsia="Times New Roman" w:cs="Times New Roman"/>
                <w:sz w:val="18"/>
                <w:szCs w:val="20"/>
              </w:rPr>
              <w:t>$CHGG</w:t>
            </w:r>
          </w:p>
        </w:tc>
        <w:tc>
          <w:tcPr>
            <w:tcW w:w="815" w:type="dxa"/>
          </w:tcPr>
          <w:p w:rsidR="00175F41" w:rsidRPr="00C820FA" w:rsidRDefault="00E9058C" w:rsidP="00DF0B75">
            <w:pPr>
              <w:jc w:val="center"/>
              <w:rPr>
                <w:rFonts w:ascii="Garamond" w:hAnsi="Garamond"/>
                <w:sz w:val="24"/>
                <w:szCs w:val="24"/>
              </w:rPr>
            </w:pPr>
            <w:r>
              <w:rPr>
                <w:rFonts w:ascii="Garamond" w:hAnsi="Garamond"/>
                <w:sz w:val="24"/>
                <w:szCs w:val="24"/>
              </w:rPr>
              <w:t xml:space="preserve">Buy </w:t>
            </w:r>
          </w:p>
        </w:tc>
        <w:tc>
          <w:tcPr>
            <w:tcW w:w="5525" w:type="dxa"/>
          </w:tcPr>
          <w:p w:rsidR="000E1D6D" w:rsidRPr="000E1D6D" w:rsidRDefault="000E1D6D" w:rsidP="000E1D6D">
            <w:pPr>
              <w:pStyle w:val="Default"/>
              <w:rPr>
                <w:sz w:val="18"/>
              </w:rPr>
            </w:pPr>
            <w:proofErr w:type="spellStart"/>
            <w:r w:rsidRPr="000E1D6D">
              <w:rPr>
                <w:sz w:val="16"/>
                <w:szCs w:val="22"/>
              </w:rPr>
              <w:t>Chegg</w:t>
            </w:r>
            <w:proofErr w:type="spellEnd"/>
            <w:r w:rsidRPr="000E1D6D">
              <w:rPr>
                <w:sz w:val="16"/>
                <w:szCs w:val="22"/>
              </w:rPr>
              <w:t xml:space="preserve"> Inc. has been helping students make higher education a little more affordable. From firsthand experiences, the college bookstore marks up the prices on their textbook to a ridiculous price which is just creating more of a burden financially on college students. Luckily, </w:t>
            </w:r>
            <w:proofErr w:type="spellStart"/>
            <w:r w:rsidRPr="000E1D6D">
              <w:rPr>
                <w:sz w:val="16"/>
                <w:szCs w:val="22"/>
              </w:rPr>
              <w:t>Chegg’s</w:t>
            </w:r>
            <w:proofErr w:type="spellEnd"/>
            <w:r w:rsidRPr="000E1D6D">
              <w:rPr>
                <w:sz w:val="16"/>
                <w:szCs w:val="22"/>
              </w:rPr>
              <w:t xml:space="preserve"> rental services helps provide books at a reasonable and affordable/competitive price along with other helpful tools that benefit students today and future students entering their first year of undergrad. </w:t>
            </w:r>
            <w:proofErr w:type="spellStart"/>
            <w:r w:rsidRPr="000E1D6D">
              <w:rPr>
                <w:sz w:val="16"/>
                <w:szCs w:val="22"/>
              </w:rPr>
              <w:t>Chegg</w:t>
            </w:r>
            <w:proofErr w:type="spellEnd"/>
            <w:r w:rsidRPr="000E1D6D">
              <w:rPr>
                <w:sz w:val="16"/>
                <w:szCs w:val="22"/>
              </w:rPr>
              <w:t xml:space="preserve"> is now switching its focus from physical textbooks to digital textbooks and expanding their digital platform in order to stay competitive in its industry and generate higher profit and margins. Having the majority of the market share, </w:t>
            </w:r>
            <w:proofErr w:type="spellStart"/>
            <w:r w:rsidRPr="000E1D6D">
              <w:rPr>
                <w:sz w:val="16"/>
                <w:szCs w:val="22"/>
              </w:rPr>
              <w:t>Chegg</w:t>
            </w:r>
            <w:proofErr w:type="spellEnd"/>
            <w:r w:rsidRPr="000E1D6D">
              <w:rPr>
                <w:sz w:val="16"/>
                <w:szCs w:val="22"/>
              </w:rPr>
              <w:t xml:space="preserve"> looks to partner up with strategic companies to further their business and grow. </w:t>
            </w:r>
          </w:p>
          <w:p w:rsidR="00175F41" w:rsidRPr="003764DD" w:rsidRDefault="00175F41" w:rsidP="00033189">
            <w:pPr>
              <w:rPr>
                <w:rFonts w:ascii="Garamond" w:eastAsia="Times New Roman" w:hAnsi="Garamond" w:cs="Times New Roman"/>
                <w:sz w:val="16"/>
                <w:szCs w:val="20"/>
              </w:rPr>
            </w:pPr>
          </w:p>
        </w:tc>
        <w:tc>
          <w:tcPr>
            <w:tcW w:w="1087" w:type="dxa"/>
          </w:tcPr>
          <w:p w:rsidR="00175F41" w:rsidRPr="00C820FA" w:rsidRDefault="00E9058C" w:rsidP="00033189">
            <w:pPr>
              <w:jc w:val="center"/>
              <w:rPr>
                <w:rFonts w:ascii="Garamond" w:hAnsi="Garamond"/>
                <w:sz w:val="20"/>
                <w:szCs w:val="20"/>
              </w:rPr>
            </w:pPr>
            <w:r>
              <w:rPr>
                <w:rFonts w:ascii="Garamond" w:hAnsi="Garamond"/>
                <w:sz w:val="20"/>
                <w:szCs w:val="20"/>
              </w:rPr>
              <w:t>$</w:t>
            </w:r>
            <w:r w:rsidR="000E1D6D">
              <w:rPr>
                <w:rFonts w:ascii="Garamond" w:hAnsi="Garamond"/>
                <w:sz w:val="20"/>
                <w:szCs w:val="20"/>
              </w:rPr>
              <w:t>8.06</w:t>
            </w:r>
          </w:p>
        </w:tc>
        <w:tc>
          <w:tcPr>
            <w:tcW w:w="924" w:type="dxa"/>
          </w:tcPr>
          <w:p w:rsidR="00175F41" w:rsidRPr="00C820FA" w:rsidRDefault="000E1D6D" w:rsidP="008B76BC">
            <w:pPr>
              <w:jc w:val="center"/>
              <w:rPr>
                <w:rFonts w:ascii="Garamond" w:hAnsi="Garamond"/>
                <w:sz w:val="20"/>
                <w:szCs w:val="20"/>
              </w:rPr>
            </w:pPr>
            <w:r>
              <w:rPr>
                <w:rFonts w:ascii="Garamond" w:hAnsi="Garamond"/>
                <w:sz w:val="20"/>
                <w:szCs w:val="20"/>
              </w:rPr>
              <w:t>$13.20</w:t>
            </w:r>
          </w:p>
        </w:tc>
      </w:tr>
      <w:tr w:rsidR="008851CD" w:rsidTr="005A400D">
        <w:trPr>
          <w:trHeight w:val="151"/>
        </w:trPr>
        <w:tc>
          <w:tcPr>
            <w:tcW w:w="1286" w:type="dxa"/>
          </w:tcPr>
          <w:p w:rsidR="008851CD" w:rsidRPr="000E1D6D" w:rsidRDefault="000E1D6D" w:rsidP="00033189">
            <w:pPr>
              <w:rPr>
                <w:rFonts w:eastAsia="Times New Roman" w:cs="Times New Roman"/>
                <w:sz w:val="18"/>
                <w:szCs w:val="20"/>
              </w:rPr>
            </w:pPr>
            <w:r w:rsidRPr="000E1D6D">
              <w:rPr>
                <w:rFonts w:eastAsia="Times New Roman" w:cs="Times New Roman"/>
                <w:sz w:val="18"/>
                <w:szCs w:val="20"/>
              </w:rPr>
              <w:t>Coach, Inc.</w:t>
            </w:r>
          </w:p>
          <w:p w:rsidR="000E1D6D" w:rsidRPr="00033189" w:rsidRDefault="000E1D6D" w:rsidP="00033189">
            <w:pPr>
              <w:rPr>
                <w:rFonts w:ascii="Times" w:eastAsia="Times New Roman" w:hAnsi="Times" w:cs="Times New Roman"/>
                <w:sz w:val="20"/>
                <w:szCs w:val="20"/>
              </w:rPr>
            </w:pPr>
            <w:r w:rsidRPr="000E1D6D">
              <w:rPr>
                <w:rFonts w:eastAsia="Times New Roman" w:cs="Times New Roman"/>
                <w:sz w:val="18"/>
                <w:szCs w:val="20"/>
              </w:rPr>
              <w:t>$COH</w:t>
            </w:r>
          </w:p>
        </w:tc>
        <w:tc>
          <w:tcPr>
            <w:tcW w:w="815" w:type="dxa"/>
          </w:tcPr>
          <w:p w:rsidR="008851CD" w:rsidRDefault="000E1D6D" w:rsidP="00DF0B75">
            <w:pPr>
              <w:jc w:val="center"/>
              <w:rPr>
                <w:rFonts w:ascii="Garamond" w:hAnsi="Garamond"/>
                <w:sz w:val="24"/>
                <w:szCs w:val="24"/>
              </w:rPr>
            </w:pPr>
            <w:r>
              <w:rPr>
                <w:rFonts w:ascii="Garamond" w:hAnsi="Garamond"/>
                <w:sz w:val="24"/>
                <w:szCs w:val="24"/>
              </w:rPr>
              <w:t>Short</w:t>
            </w:r>
          </w:p>
        </w:tc>
        <w:tc>
          <w:tcPr>
            <w:tcW w:w="5525" w:type="dxa"/>
          </w:tcPr>
          <w:p w:rsidR="000E1D6D" w:rsidRPr="000E1D6D" w:rsidRDefault="000E1D6D" w:rsidP="000E1D6D">
            <w:pPr>
              <w:pStyle w:val="Default"/>
              <w:rPr>
                <w:sz w:val="18"/>
              </w:rPr>
            </w:pPr>
            <w:r w:rsidRPr="000E1D6D">
              <w:rPr>
                <w:sz w:val="16"/>
                <w:szCs w:val="22"/>
              </w:rPr>
              <w:t xml:space="preserve">Coach, Inc. was once known as one of the premier luxury handbag and accessories brand both in the United States, and internationally. However, they missed many pricing and design mark in the last ten years and they have been rapidly losing their market share to new entrants, in a growing market. They have an eroding brand image because of an overabundance of factory stores, and sales. Their sales and margins are in steady decline, and expected to continue declining. They </w:t>
            </w:r>
            <w:proofErr w:type="spellStart"/>
            <w:r w:rsidRPr="000E1D6D">
              <w:rPr>
                <w:sz w:val="16"/>
                <w:szCs w:val="22"/>
              </w:rPr>
              <w:t>hve</w:t>
            </w:r>
            <w:proofErr w:type="spellEnd"/>
            <w:r w:rsidRPr="000E1D6D">
              <w:rPr>
                <w:sz w:val="16"/>
                <w:szCs w:val="22"/>
              </w:rPr>
              <w:t xml:space="preserve"> a $300 million transformation plan in the works, that is not guaranteed to return them to </w:t>
            </w:r>
            <w:proofErr w:type="gramStart"/>
            <w:r w:rsidRPr="000E1D6D">
              <w:rPr>
                <w:sz w:val="16"/>
                <w:szCs w:val="22"/>
              </w:rPr>
              <w:t xml:space="preserve">their </w:t>
            </w:r>
            <w:r>
              <w:rPr>
                <w:sz w:val="18"/>
              </w:rPr>
              <w:t xml:space="preserve"> </w:t>
            </w:r>
            <w:r w:rsidRPr="000E1D6D">
              <w:rPr>
                <w:sz w:val="16"/>
                <w:szCs w:val="22"/>
              </w:rPr>
              <w:t>status</w:t>
            </w:r>
            <w:proofErr w:type="gramEnd"/>
            <w:r w:rsidRPr="000E1D6D">
              <w:rPr>
                <w:sz w:val="16"/>
                <w:szCs w:val="22"/>
              </w:rPr>
              <w:t xml:space="preserve"> as a well respect “affordable luxury” brand. </w:t>
            </w:r>
          </w:p>
          <w:p w:rsidR="000E1D6D" w:rsidRDefault="000E1D6D" w:rsidP="000E1D6D">
            <w:pPr>
              <w:pStyle w:val="Default"/>
            </w:pPr>
          </w:p>
          <w:p w:rsidR="008851CD" w:rsidRPr="00033189" w:rsidRDefault="008851CD" w:rsidP="00033189">
            <w:pPr>
              <w:rPr>
                <w:rFonts w:ascii="Garamond" w:eastAsia="Times New Roman" w:hAnsi="Garamond" w:cs="Times New Roman"/>
                <w:sz w:val="16"/>
                <w:szCs w:val="20"/>
              </w:rPr>
            </w:pPr>
          </w:p>
        </w:tc>
        <w:tc>
          <w:tcPr>
            <w:tcW w:w="1087" w:type="dxa"/>
          </w:tcPr>
          <w:p w:rsidR="008851CD" w:rsidRDefault="000E1D6D" w:rsidP="00033189">
            <w:pPr>
              <w:jc w:val="center"/>
              <w:rPr>
                <w:rFonts w:ascii="Garamond" w:hAnsi="Garamond"/>
                <w:sz w:val="20"/>
                <w:szCs w:val="20"/>
              </w:rPr>
            </w:pPr>
            <w:r>
              <w:rPr>
                <w:rFonts w:ascii="Garamond" w:hAnsi="Garamond"/>
                <w:sz w:val="20"/>
                <w:szCs w:val="20"/>
              </w:rPr>
              <w:t>$42.65</w:t>
            </w:r>
          </w:p>
        </w:tc>
        <w:tc>
          <w:tcPr>
            <w:tcW w:w="924" w:type="dxa"/>
          </w:tcPr>
          <w:p w:rsidR="008851CD" w:rsidRDefault="000E1D6D" w:rsidP="008B76BC">
            <w:pPr>
              <w:jc w:val="center"/>
              <w:rPr>
                <w:rFonts w:ascii="Garamond" w:hAnsi="Garamond"/>
                <w:sz w:val="20"/>
                <w:szCs w:val="20"/>
              </w:rPr>
            </w:pPr>
            <w:r>
              <w:rPr>
                <w:rFonts w:ascii="Garamond" w:hAnsi="Garamond"/>
                <w:sz w:val="20"/>
                <w:szCs w:val="20"/>
              </w:rPr>
              <w:t>$24.12</w:t>
            </w:r>
          </w:p>
        </w:tc>
      </w:tr>
      <w:tr w:rsidR="001021DB" w:rsidTr="005A400D">
        <w:trPr>
          <w:trHeight w:val="151"/>
        </w:trPr>
        <w:tc>
          <w:tcPr>
            <w:tcW w:w="1286" w:type="dxa"/>
          </w:tcPr>
          <w:p w:rsidR="00033189" w:rsidRPr="000E1D6D" w:rsidRDefault="000E1D6D" w:rsidP="008B76BC">
            <w:pPr>
              <w:rPr>
                <w:sz w:val="18"/>
                <w:szCs w:val="18"/>
              </w:rPr>
            </w:pPr>
            <w:proofErr w:type="spellStart"/>
            <w:r w:rsidRPr="000E1D6D">
              <w:rPr>
                <w:rFonts w:eastAsia="Times New Roman" w:cs="Times New Roman"/>
                <w:sz w:val="18"/>
                <w:szCs w:val="20"/>
              </w:rPr>
              <w:t>Criteo</w:t>
            </w:r>
            <w:proofErr w:type="spellEnd"/>
            <w:r w:rsidRPr="000E1D6D">
              <w:rPr>
                <w:rFonts w:eastAsia="Times New Roman" w:cs="Times New Roman"/>
                <w:sz w:val="18"/>
                <w:szCs w:val="20"/>
              </w:rPr>
              <w:t xml:space="preserve"> SA</w:t>
            </w:r>
            <w:r w:rsidRPr="000E1D6D">
              <w:rPr>
                <w:rFonts w:eastAsia="Times New Roman" w:cs="Times New Roman"/>
                <w:sz w:val="18"/>
                <w:szCs w:val="20"/>
              </w:rPr>
              <w:br/>
              <w:t>$CRTO</w:t>
            </w:r>
          </w:p>
        </w:tc>
        <w:tc>
          <w:tcPr>
            <w:tcW w:w="815" w:type="dxa"/>
          </w:tcPr>
          <w:p w:rsidR="00175F41" w:rsidRPr="00C820FA" w:rsidRDefault="00162AD6" w:rsidP="008B76BC">
            <w:pPr>
              <w:jc w:val="center"/>
              <w:rPr>
                <w:sz w:val="24"/>
                <w:szCs w:val="24"/>
              </w:rPr>
            </w:pPr>
            <w:r>
              <w:rPr>
                <w:sz w:val="24"/>
                <w:szCs w:val="24"/>
              </w:rPr>
              <w:t>Buy</w:t>
            </w:r>
          </w:p>
        </w:tc>
        <w:tc>
          <w:tcPr>
            <w:tcW w:w="5525" w:type="dxa"/>
          </w:tcPr>
          <w:p w:rsidR="000E1D6D" w:rsidRPr="000E1D6D" w:rsidRDefault="000E1D6D" w:rsidP="000E1D6D">
            <w:pPr>
              <w:pStyle w:val="Default"/>
              <w:jc w:val="both"/>
              <w:rPr>
                <w:sz w:val="18"/>
              </w:rPr>
            </w:pPr>
            <w:proofErr w:type="spellStart"/>
            <w:r w:rsidRPr="000E1D6D">
              <w:rPr>
                <w:sz w:val="16"/>
                <w:szCs w:val="22"/>
              </w:rPr>
              <w:t>Criteo</w:t>
            </w:r>
            <w:proofErr w:type="spellEnd"/>
            <w:r w:rsidRPr="000E1D6D">
              <w:rPr>
                <w:sz w:val="16"/>
                <w:szCs w:val="22"/>
              </w:rPr>
              <w:t xml:space="preserve"> SA has tremendous upside potential within the online global advertising markets. The company is extremely attractive compared to its competitors and is continuing to actively positioning itself in to a pivotal location within its sector. The company is continuing to expand all over the globe, but still has huge room for growth in the retail giant, the United States. As the company continues to expand and become partners with some of the world’s largest retail companies, it also has been expanding its avenues of wealth creation. That being, not only online website display advertising, but mobile web browsing, in-app advertisements, social media advertisements, and E-mail advertisements. By doing this, the company continues to shift its business model to one of digital and programmatic advertising, differentiating it from the majority of similar online marketing firms. The company is headed by a very strong management team of accomplished innovators who will surely continue to provide resourceful insight and business techniques which will in turn stimulate expansion and financial growth. Based upon these key points, I feel </w:t>
            </w:r>
            <w:proofErr w:type="spellStart"/>
            <w:r w:rsidRPr="000E1D6D">
              <w:rPr>
                <w:sz w:val="16"/>
                <w:szCs w:val="22"/>
              </w:rPr>
              <w:t>Criteo</w:t>
            </w:r>
            <w:proofErr w:type="spellEnd"/>
            <w:r w:rsidRPr="000E1D6D">
              <w:rPr>
                <w:sz w:val="16"/>
                <w:szCs w:val="22"/>
              </w:rPr>
              <w:t xml:space="preserve"> is a strong Buy, with a very conservative target price range in the area of $50.00. </w:t>
            </w:r>
          </w:p>
          <w:p w:rsidR="00175F41" w:rsidRPr="000F32DB" w:rsidRDefault="00175F41" w:rsidP="008B76BC">
            <w:pPr>
              <w:jc w:val="both"/>
              <w:rPr>
                <w:sz w:val="16"/>
                <w:szCs w:val="16"/>
              </w:rPr>
            </w:pPr>
          </w:p>
        </w:tc>
        <w:tc>
          <w:tcPr>
            <w:tcW w:w="1087" w:type="dxa"/>
          </w:tcPr>
          <w:p w:rsidR="00175F41" w:rsidRPr="00C820FA" w:rsidRDefault="000E1D6D" w:rsidP="008B76BC">
            <w:pPr>
              <w:jc w:val="center"/>
              <w:rPr>
                <w:rFonts w:ascii="Garamond" w:hAnsi="Garamond"/>
                <w:sz w:val="20"/>
                <w:szCs w:val="20"/>
              </w:rPr>
            </w:pPr>
            <w:r>
              <w:rPr>
                <w:rFonts w:ascii="Garamond" w:hAnsi="Garamond"/>
                <w:sz w:val="20"/>
                <w:szCs w:val="20"/>
              </w:rPr>
              <w:t>43.59</w:t>
            </w:r>
          </w:p>
        </w:tc>
        <w:tc>
          <w:tcPr>
            <w:tcW w:w="924" w:type="dxa"/>
          </w:tcPr>
          <w:p w:rsidR="00175F41" w:rsidRPr="00C820FA" w:rsidRDefault="000E1D6D" w:rsidP="008B76BC">
            <w:pPr>
              <w:jc w:val="center"/>
              <w:rPr>
                <w:rFonts w:ascii="Garamond" w:hAnsi="Garamond"/>
                <w:sz w:val="20"/>
                <w:szCs w:val="20"/>
              </w:rPr>
            </w:pPr>
            <w:r>
              <w:rPr>
                <w:rFonts w:ascii="Garamond" w:hAnsi="Garamond"/>
                <w:sz w:val="20"/>
                <w:szCs w:val="20"/>
              </w:rPr>
              <w:t>$49.69</w:t>
            </w:r>
          </w:p>
        </w:tc>
      </w:tr>
      <w:tr w:rsidR="00E208B6" w:rsidTr="005A400D">
        <w:trPr>
          <w:trHeight w:val="151"/>
        </w:trPr>
        <w:tc>
          <w:tcPr>
            <w:tcW w:w="1286" w:type="dxa"/>
          </w:tcPr>
          <w:p w:rsidR="007A18A9" w:rsidRPr="000E1D6D" w:rsidRDefault="000E1D6D" w:rsidP="008B76BC">
            <w:pPr>
              <w:rPr>
                <w:rFonts w:eastAsia="Times New Roman" w:cs="Times New Roman"/>
                <w:sz w:val="18"/>
                <w:szCs w:val="20"/>
              </w:rPr>
            </w:pPr>
            <w:r w:rsidRPr="000E1D6D">
              <w:rPr>
                <w:rFonts w:eastAsia="Times New Roman" w:cs="Times New Roman"/>
                <w:sz w:val="18"/>
                <w:szCs w:val="20"/>
              </w:rPr>
              <w:t xml:space="preserve">Emergent </w:t>
            </w:r>
            <w:proofErr w:type="spellStart"/>
            <w:r w:rsidRPr="000E1D6D">
              <w:rPr>
                <w:rFonts w:eastAsia="Times New Roman" w:cs="Times New Roman"/>
                <w:sz w:val="18"/>
                <w:szCs w:val="20"/>
              </w:rPr>
              <w:t>Biosolutions</w:t>
            </w:r>
            <w:proofErr w:type="spellEnd"/>
            <w:r w:rsidRPr="000E1D6D">
              <w:rPr>
                <w:rFonts w:eastAsia="Times New Roman" w:cs="Times New Roman"/>
                <w:sz w:val="18"/>
                <w:szCs w:val="20"/>
              </w:rPr>
              <w:t xml:space="preserve">, Inc. </w:t>
            </w:r>
          </w:p>
          <w:p w:rsidR="000E1D6D" w:rsidRPr="00175F41" w:rsidRDefault="000E1D6D" w:rsidP="008B76BC">
            <w:pPr>
              <w:rPr>
                <w:sz w:val="18"/>
                <w:szCs w:val="18"/>
              </w:rPr>
            </w:pPr>
            <w:r w:rsidRPr="000E1D6D">
              <w:rPr>
                <w:rFonts w:eastAsia="Times New Roman" w:cs="Times New Roman"/>
                <w:sz w:val="18"/>
                <w:szCs w:val="20"/>
              </w:rPr>
              <w:t>$EBS</w:t>
            </w:r>
          </w:p>
        </w:tc>
        <w:tc>
          <w:tcPr>
            <w:tcW w:w="815" w:type="dxa"/>
          </w:tcPr>
          <w:p w:rsidR="00E208B6" w:rsidRPr="00C820FA" w:rsidRDefault="00FA76B2" w:rsidP="008B76BC">
            <w:pPr>
              <w:jc w:val="center"/>
              <w:rPr>
                <w:sz w:val="24"/>
                <w:szCs w:val="24"/>
              </w:rPr>
            </w:pPr>
            <w:r>
              <w:rPr>
                <w:sz w:val="24"/>
                <w:szCs w:val="24"/>
              </w:rPr>
              <w:t>Buy</w:t>
            </w:r>
          </w:p>
        </w:tc>
        <w:tc>
          <w:tcPr>
            <w:tcW w:w="5525" w:type="dxa"/>
          </w:tcPr>
          <w:p w:rsidR="000E1D6D" w:rsidRPr="000E1D6D" w:rsidRDefault="000E1D6D" w:rsidP="000E1D6D">
            <w:pPr>
              <w:pStyle w:val="Default"/>
              <w:rPr>
                <w:sz w:val="18"/>
              </w:rPr>
            </w:pPr>
            <w:r w:rsidRPr="000E1D6D">
              <w:rPr>
                <w:sz w:val="16"/>
                <w:szCs w:val="22"/>
              </w:rPr>
              <w:t xml:space="preserve">Emergent </w:t>
            </w:r>
            <w:proofErr w:type="spellStart"/>
            <w:r w:rsidRPr="000E1D6D">
              <w:rPr>
                <w:sz w:val="16"/>
                <w:szCs w:val="22"/>
              </w:rPr>
              <w:t>BioSolutions</w:t>
            </w:r>
            <w:proofErr w:type="spellEnd"/>
            <w:r w:rsidRPr="000E1D6D">
              <w:rPr>
                <w:sz w:val="16"/>
                <w:szCs w:val="22"/>
              </w:rPr>
              <w:t xml:space="preserve"> is a company that does not deliver vaccines or treatment for common disease but rather that focuses on a few orphan diseases. The specialty pharma outlook looks very positive due to the actual demographics and the current spending on healthcare and research. The </w:t>
            </w:r>
            <w:proofErr w:type="spellStart"/>
            <w:r w:rsidRPr="000E1D6D">
              <w:rPr>
                <w:sz w:val="16"/>
                <w:szCs w:val="22"/>
              </w:rPr>
              <w:t>BioDefense</w:t>
            </w:r>
            <w:proofErr w:type="spellEnd"/>
            <w:r w:rsidRPr="000E1D6D">
              <w:rPr>
                <w:sz w:val="16"/>
                <w:szCs w:val="22"/>
              </w:rPr>
              <w:t xml:space="preserve"> division of EBS is the most profitable one and is closely linked to the US government spending on </w:t>
            </w:r>
            <w:proofErr w:type="spellStart"/>
            <w:r w:rsidRPr="000E1D6D">
              <w:rPr>
                <w:sz w:val="16"/>
                <w:szCs w:val="22"/>
              </w:rPr>
              <w:t>BioDefense</w:t>
            </w:r>
            <w:proofErr w:type="spellEnd"/>
            <w:r w:rsidRPr="000E1D6D">
              <w:rPr>
                <w:sz w:val="16"/>
                <w:szCs w:val="22"/>
              </w:rPr>
              <w:t xml:space="preserve">. It is a source of funding for the company and is a growth opportunity that the market seems to underestimate. In addition, the company shows sign of undervaluation compared to its peers. </w:t>
            </w:r>
          </w:p>
          <w:p w:rsidR="00E208B6" w:rsidRPr="00E9058C" w:rsidRDefault="00E208B6" w:rsidP="007A18A9">
            <w:pPr>
              <w:rPr>
                <w:rFonts w:ascii="Garamond" w:eastAsia="Times New Roman" w:hAnsi="Garamond" w:cs="Times New Roman"/>
                <w:sz w:val="16"/>
                <w:szCs w:val="16"/>
              </w:rPr>
            </w:pPr>
          </w:p>
        </w:tc>
        <w:tc>
          <w:tcPr>
            <w:tcW w:w="1087" w:type="dxa"/>
          </w:tcPr>
          <w:p w:rsidR="00E208B6" w:rsidRPr="00C820FA" w:rsidRDefault="007A18A9" w:rsidP="000E1D6D">
            <w:pPr>
              <w:jc w:val="center"/>
              <w:rPr>
                <w:rFonts w:ascii="Garamond" w:hAnsi="Garamond"/>
                <w:sz w:val="20"/>
                <w:szCs w:val="20"/>
              </w:rPr>
            </w:pPr>
            <w:r>
              <w:rPr>
                <w:rFonts w:ascii="Garamond" w:hAnsi="Garamond"/>
                <w:sz w:val="20"/>
                <w:szCs w:val="20"/>
              </w:rPr>
              <w:t>$</w:t>
            </w:r>
            <w:r w:rsidR="000E1D6D">
              <w:rPr>
                <w:rFonts w:ascii="Garamond" w:hAnsi="Garamond"/>
                <w:sz w:val="20"/>
                <w:szCs w:val="20"/>
              </w:rPr>
              <w:t>29.82</w:t>
            </w:r>
          </w:p>
        </w:tc>
        <w:tc>
          <w:tcPr>
            <w:tcW w:w="924" w:type="dxa"/>
          </w:tcPr>
          <w:p w:rsidR="00E208B6" w:rsidRPr="00C820FA" w:rsidRDefault="000E1D6D" w:rsidP="008B76BC">
            <w:pPr>
              <w:jc w:val="center"/>
              <w:rPr>
                <w:rFonts w:ascii="Garamond" w:hAnsi="Garamond"/>
                <w:sz w:val="20"/>
                <w:szCs w:val="20"/>
              </w:rPr>
            </w:pPr>
            <w:r>
              <w:rPr>
                <w:rFonts w:ascii="Garamond" w:hAnsi="Garamond"/>
                <w:sz w:val="20"/>
                <w:szCs w:val="20"/>
              </w:rPr>
              <w:t>$59.47</w:t>
            </w:r>
          </w:p>
        </w:tc>
      </w:tr>
      <w:tr w:rsidR="00E208B6" w:rsidTr="005A400D">
        <w:trPr>
          <w:trHeight w:val="151"/>
        </w:trPr>
        <w:tc>
          <w:tcPr>
            <w:tcW w:w="1286" w:type="dxa"/>
          </w:tcPr>
          <w:p w:rsidR="007A18A9" w:rsidRDefault="000E1D6D" w:rsidP="008B76BC">
            <w:pPr>
              <w:rPr>
                <w:rFonts w:eastAsia="Times New Roman" w:cs="Times New Roman"/>
                <w:sz w:val="18"/>
                <w:szCs w:val="20"/>
              </w:rPr>
            </w:pPr>
            <w:r>
              <w:rPr>
                <w:rFonts w:eastAsia="Times New Roman" w:cs="Times New Roman"/>
                <w:sz w:val="18"/>
                <w:szCs w:val="20"/>
              </w:rPr>
              <w:t>Headwaters Incorporated</w:t>
            </w:r>
          </w:p>
          <w:p w:rsidR="000E1D6D" w:rsidRPr="00175F41" w:rsidRDefault="000E1D6D" w:rsidP="008B76BC">
            <w:pPr>
              <w:rPr>
                <w:sz w:val="18"/>
                <w:szCs w:val="18"/>
              </w:rPr>
            </w:pPr>
            <w:r>
              <w:rPr>
                <w:rFonts w:eastAsia="Times New Roman" w:cs="Times New Roman"/>
                <w:sz w:val="18"/>
                <w:szCs w:val="20"/>
              </w:rPr>
              <w:t>$HW</w:t>
            </w: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0E1D6D" w:rsidRPr="000E1D6D" w:rsidRDefault="000E1D6D" w:rsidP="000E1D6D">
            <w:pPr>
              <w:pStyle w:val="Default"/>
              <w:jc w:val="both"/>
              <w:rPr>
                <w:sz w:val="18"/>
              </w:rPr>
            </w:pPr>
            <w:proofErr w:type="gramStart"/>
            <w:r w:rsidRPr="000E1D6D">
              <w:rPr>
                <w:sz w:val="16"/>
                <w:szCs w:val="22"/>
              </w:rPr>
              <w:t>Headwaters incorporated is</w:t>
            </w:r>
            <w:proofErr w:type="gramEnd"/>
            <w:r w:rsidRPr="000E1D6D">
              <w:rPr>
                <w:sz w:val="16"/>
                <w:szCs w:val="22"/>
              </w:rPr>
              <w:t xml:space="preserve"> a leading construction products company. As a matter of fact, the company has been able to realize double-digit growth and achieve top-quartile margin performance. The chart below shows clearly that HW has exposure to end-mar</w:t>
            </w:r>
            <w:r>
              <w:rPr>
                <w:sz w:val="16"/>
                <w:szCs w:val="22"/>
              </w:rPr>
              <w:t xml:space="preserve">kets with growth opportunities. </w:t>
            </w:r>
            <w:r w:rsidRPr="000E1D6D">
              <w:rPr>
                <w:sz w:val="16"/>
                <w:szCs w:val="22"/>
              </w:rPr>
              <w:t xml:space="preserve">The firm is able to be a leader in high margin products because it is the best in class customer and distribution base. The company has 190 issued and pending patents, and 28 issued and pending trademarks for its products and intellectual property. The firm has been able to achieve thirteen consecutive quarters of year-over-year revenue and EBITDA growth. The stock has performed fairly well over the past year and the report will focus on proving that HW will continue to generate value in the long term. In fact, the firm is well diversified and has an important market share for many of the products they develop both nationally and internationally. Overall, Headwaters is a good long term investment opportunities with a price target of $20.97, which is a 14.51% return. </w:t>
            </w:r>
          </w:p>
          <w:p w:rsidR="000E1D6D" w:rsidRDefault="000E1D6D" w:rsidP="000E1D6D">
            <w:pPr>
              <w:pStyle w:val="Default"/>
              <w:jc w:val="both"/>
            </w:pPr>
          </w:p>
          <w:p w:rsidR="00E208B6" w:rsidRPr="000F32DB" w:rsidRDefault="00E208B6" w:rsidP="008B76BC">
            <w:pPr>
              <w:jc w:val="both"/>
              <w:rPr>
                <w:rFonts w:ascii="Garamond" w:eastAsia="Arial" w:hAnsi="Garamond" w:cs="Arial"/>
                <w:color w:val="000000"/>
                <w:sz w:val="16"/>
                <w:szCs w:val="16"/>
              </w:rPr>
            </w:pPr>
          </w:p>
        </w:tc>
        <w:tc>
          <w:tcPr>
            <w:tcW w:w="1087" w:type="dxa"/>
          </w:tcPr>
          <w:p w:rsidR="00E208B6" w:rsidRPr="00C820FA" w:rsidRDefault="003764DD" w:rsidP="000E1D6D">
            <w:pPr>
              <w:jc w:val="center"/>
              <w:rPr>
                <w:rFonts w:ascii="Garamond" w:hAnsi="Garamond"/>
                <w:sz w:val="20"/>
                <w:szCs w:val="20"/>
              </w:rPr>
            </w:pPr>
            <w:r>
              <w:rPr>
                <w:rFonts w:ascii="Garamond" w:hAnsi="Garamond"/>
                <w:sz w:val="20"/>
                <w:szCs w:val="20"/>
              </w:rPr>
              <w:t>$</w:t>
            </w:r>
            <w:r w:rsidR="000E1D6D">
              <w:rPr>
                <w:rFonts w:ascii="Garamond" w:hAnsi="Garamond"/>
                <w:sz w:val="20"/>
                <w:szCs w:val="20"/>
              </w:rPr>
              <w:t>18.34</w:t>
            </w:r>
          </w:p>
        </w:tc>
        <w:tc>
          <w:tcPr>
            <w:tcW w:w="924" w:type="dxa"/>
          </w:tcPr>
          <w:p w:rsidR="00E208B6" w:rsidRPr="00C820FA" w:rsidRDefault="000E1D6D" w:rsidP="008B76BC">
            <w:pPr>
              <w:jc w:val="center"/>
              <w:rPr>
                <w:rFonts w:ascii="Garamond" w:hAnsi="Garamond"/>
                <w:sz w:val="20"/>
                <w:szCs w:val="20"/>
              </w:rPr>
            </w:pPr>
            <w:r>
              <w:rPr>
                <w:rFonts w:ascii="Garamond" w:hAnsi="Garamond"/>
                <w:sz w:val="20"/>
                <w:szCs w:val="20"/>
              </w:rPr>
              <w:t>$20.97</w:t>
            </w:r>
          </w:p>
        </w:tc>
      </w:tr>
      <w:tr w:rsidR="008851CD" w:rsidTr="005A400D">
        <w:trPr>
          <w:trHeight w:val="151"/>
        </w:trPr>
        <w:tc>
          <w:tcPr>
            <w:tcW w:w="1286" w:type="dxa"/>
          </w:tcPr>
          <w:p w:rsidR="008851CD" w:rsidRDefault="000E1D6D" w:rsidP="008B76BC">
            <w:pPr>
              <w:rPr>
                <w:rFonts w:eastAsia="Times New Roman" w:cs="Times New Roman"/>
                <w:sz w:val="18"/>
                <w:szCs w:val="20"/>
              </w:rPr>
            </w:pPr>
            <w:r>
              <w:rPr>
                <w:rFonts w:eastAsia="Times New Roman" w:cs="Times New Roman"/>
                <w:sz w:val="18"/>
                <w:szCs w:val="20"/>
              </w:rPr>
              <w:lastRenderedPageBreak/>
              <w:t xml:space="preserve">Herman Miller </w:t>
            </w:r>
            <w:proofErr w:type="spellStart"/>
            <w:r>
              <w:rPr>
                <w:rFonts w:eastAsia="Times New Roman" w:cs="Times New Roman"/>
                <w:sz w:val="18"/>
                <w:szCs w:val="20"/>
              </w:rPr>
              <w:t>inc</w:t>
            </w:r>
            <w:proofErr w:type="spellEnd"/>
            <w:r>
              <w:rPr>
                <w:rFonts w:eastAsia="Times New Roman" w:cs="Times New Roman"/>
                <w:sz w:val="18"/>
                <w:szCs w:val="20"/>
              </w:rPr>
              <w:br/>
              <w:t>$MLHR</w:t>
            </w:r>
          </w:p>
        </w:tc>
        <w:tc>
          <w:tcPr>
            <w:tcW w:w="815" w:type="dxa"/>
          </w:tcPr>
          <w:p w:rsidR="008851CD" w:rsidRDefault="008851CD"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0E1D6D" w:rsidRPr="000E1D6D" w:rsidRDefault="000E1D6D" w:rsidP="000E1D6D">
            <w:pPr>
              <w:pStyle w:val="Default"/>
              <w:rPr>
                <w:sz w:val="18"/>
              </w:rPr>
            </w:pPr>
            <w:r w:rsidRPr="000E1D6D">
              <w:rPr>
                <w:sz w:val="16"/>
                <w:szCs w:val="22"/>
              </w:rPr>
              <w:t xml:space="preserve">The office furniture market is a growing market due to an increasing number of corporate jobs. Within that industry, Herman Miller is a leading company with above average margins and inventory turnover. It is also undervalued, due to pessimistic analyst expectations for growth. These factures make Herman Miller a BUY. </w:t>
            </w:r>
          </w:p>
          <w:p w:rsidR="008851CD" w:rsidRPr="007A18A9" w:rsidRDefault="008851CD" w:rsidP="007A18A9">
            <w:pPr>
              <w:tabs>
                <w:tab w:val="left" w:pos="2295"/>
              </w:tabs>
              <w:rPr>
                <w:rFonts w:ascii="Garamond" w:hAnsi="Garamond"/>
                <w:sz w:val="16"/>
              </w:rPr>
            </w:pPr>
          </w:p>
        </w:tc>
        <w:tc>
          <w:tcPr>
            <w:tcW w:w="1087" w:type="dxa"/>
          </w:tcPr>
          <w:p w:rsidR="008851CD" w:rsidRDefault="000E1D6D" w:rsidP="008B76BC">
            <w:pPr>
              <w:jc w:val="center"/>
              <w:rPr>
                <w:rFonts w:ascii="Garamond" w:hAnsi="Garamond"/>
                <w:sz w:val="20"/>
                <w:szCs w:val="20"/>
              </w:rPr>
            </w:pPr>
            <w:r>
              <w:rPr>
                <w:rFonts w:ascii="Garamond" w:hAnsi="Garamond"/>
                <w:sz w:val="20"/>
                <w:szCs w:val="20"/>
              </w:rPr>
              <w:t>$28.75</w:t>
            </w:r>
          </w:p>
        </w:tc>
        <w:tc>
          <w:tcPr>
            <w:tcW w:w="924" w:type="dxa"/>
          </w:tcPr>
          <w:p w:rsidR="008851CD" w:rsidRDefault="000E1D6D" w:rsidP="008B76BC">
            <w:pPr>
              <w:jc w:val="center"/>
              <w:rPr>
                <w:rFonts w:ascii="Garamond" w:hAnsi="Garamond"/>
                <w:sz w:val="20"/>
                <w:szCs w:val="20"/>
              </w:rPr>
            </w:pPr>
            <w:r>
              <w:rPr>
                <w:rFonts w:ascii="Garamond" w:hAnsi="Garamond"/>
                <w:sz w:val="20"/>
                <w:szCs w:val="20"/>
              </w:rPr>
              <w:t>$38.11</w:t>
            </w:r>
          </w:p>
        </w:tc>
      </w:tr>
      <w:tr w:rsidR="00E208B6" w:rsidTr="005A400D">
        <w:trPr>
          <w:trHeight w:val="151"/>
        </w:trPr>
        <w:tc>
          <w:tcPr>
            <w:tcW w:w="1286" w:type="dxa"/>
          </w:tcPr>
          <w:p w:rsidR="007A18A9" w:rsidRPr="000E1D6D" w:rsidRDefault="000E1D6D" w:rsidP="008B76BC">
            <w:pPr>
              <w:rPr>
                <w:rFonts w:eastAsia="Times New Roman" w:cs="Times New Roman"/>
                <w:sz w:val="18"/>
                <w:szCs w:val="20"/>
              </w:rPr>
            </w:pPr>
            <w:r w:rsidRPr="000E1D6D">
              <w:rPr>
                <w:rFonts w:eastAsia="Times New Roman" w:cs="Times New Roman"/>
                <w:sz w:val="18"/>
                <w:szCs w:val="20"/>
              </w:rPr>
              <w:t>Sanderson Farms Inc.</w:t>
            </w:r>
          </w:p>
          <w:p w:rsidR="000E1D6D" w:rsidRPr="007A18A9" w:rsidRDefault="000E1D6D" w:rsidP="008B76BC">
            <w:pPr>
              <w:rPr>
                <w:rFonts w:ascii="Times" w:eastAsia="Times New Roman" w:hAnsi="Times" w:cs="Times New Roman"/>
                <w:sz w:val="20"/>
                <w:szCs w:val="20"/>
              </w:rPr>
            </w:pPr>
            <w:r w:rsidRPr="000E1D6D">
              <w:rPr>
                <w:rFonts w:eastAsia="Times New Roman" w:cs="Times New Roman"/>
                <w:sz w:val="18"/>
                <w:szCs w:val="20"/>
              </w:rPr>
              <w:t>$SAFM</w:t>
            </w:r>
          </w:p>
        </w:tc>
        <w:tc>
          <w:tcPr>
            <w:tcW w:w="815" w:type="dxa"/>
          </w:tcPr>
          <w:p w:rsidR="00E208B6" w:rsidRPr="00C820FA" w:rsidRDefault="000E1D6D" w:rsidP="008B76BC">
            <w:pPr>
              <w:jc w:val="center"/>
              <w:rPr>
                <w:rFonts w:ascii="Garamond" w:hAnsi="Garamond"/>
                <w:sz w:val="24"/>
                <w:szCs w:val="24"/>
              </w:rPr>
            </w:pPr>
            <w:r>
              <w:rPr>
                <w:rFonts w:ascii="Garamond" w:hAnsi="Garamond"/>
                <w:sz w:val="24"/>
                <w:szCs w:val="24"/>
              </w:rPr>
              <w:t>Buy</w:t>
            </w:r>
          </w:p>
        </w:tc>
        <w:tc>
          <w:tcPr>
            <w:tcW w:w="5525" w:type="dxa"/>
          </w:tcPr>
          <w:p w:rsidR="000E1D6D" w:rsidRPr="000E1D6D" w:rsidRDefault="000E1D6D" w:rsidP="000E1D6D">
            <w:pPr>
              <w:pStyle w:val="Default"/>
              <w:rPr>
                <w:sz w:val="18"/>
              </w:rPr>
            </w:pPr>
            <w:r w:rsidRPr="000E1D6D">
              <w:rPr>
                <w:sz w:val="16"/>
                <w:szCs w:val="22"/>
              </w:rPr>
              <w:t xml:space="preserve">Sanderson Farms Inc. is the third largest poultry processor company within the US with $2.9 billion of revenue. The company is well established and has consistently showed positive revenue growths coupled with competitive operating margins over the past 10 years. Recent concerns over cases of avian flu detected around the country have raised skepticism among investors. The market is concerned about China’s restrictions over the import of broiler meat produced by the US, which is expected to negatively impact companies exporting their poultry products in Asia. However, the company is currently well positioned to benefit from current market conditions, enjoying higher operating margins thanks to lower corn and soybean prices. The company’s financials are strong and decrease the risks associated with a potential decline in poultry exports. Sanderson Farms Inc. seems to be the most undervalued stock within this market, which creates a good opportunity for investors to enter into a long position at current levels. A BUY is therefore recommended on SAFM with a target price of $110, representing an upside potential of 46% based on the current market price. </w:t>
            </w:r>
          </w:p>
          <w:p w:rsidR="003764DD" w:rsidRPr="003764DD" w:rsidRDefault="003764DD" w:rsidP="003764DD">
            <w:pPr>
              <w:rPr>
                <w:rFonts w:ascii="Garamond" w:eastAsia="Times New Roman" w:hAnsi="Garamond" w:cs="Times New Roman"/>
                <w:sz w:val="16"/>
                <w:szCs w:val="20"/>
              </w:rPr>
            </w:pPr>
          </w:p>
          <w:p w:rsidR="00E208B6" w:rsidRPr="00860C2F" w:rsidRDefault="00E208B6" w:rsidP="008B76BC">
            <w:pPr>
              <w:jc w:val="both"/>
              <w:rPr>
                <w:rFonts w:ascii="Garamond" w:eastAsia="Arial" w:hAnsi="Garamond" w:cs="Arial"/>
                <w:color w:val="000000"/>
                <w:sz w:val="16"/>
                <w:szCs w:val="16"/>
              </w:rPr>
            </w:pPr>
          </w:p>
        </w:tc>
        <w:tc>
          <w:tcPr>
            <w:tcW w:w="1087" w:type="dxa"/>
          </w:tcPr>
          <w:p w:rsidR="00E208B6" w:rsidRPr="00C820FA" w:rsidRDefault="000E1D6D" w:rsidP="008B76BC">
            <w:pPr>
              <w:jc w:val="center"/>
              <w:rPr>
                <w:rFonts w:ascii="Garamond" w:hAnsi="Garamond"/>
                <w:sz w:val="20"/>
                <w:szCs w:val="20"/>
              </w:rPr>
            </w:pPr>
            <w:r>
              <w:rPr>
                <w:rFonts w:ascii="Garamond" w:hAnsi="Garamond"/>
                <w:sz w:val="20"/>
                <w:szCs w:val="20"/>
              </w:rPr>
              <w:t>$76.06</w:t>
            </w:r>
          </w:p>
        </w:tc>
        <w:tc>
          <w:tcPr>
            <w:tcW w:w="924" w:type="dxa"/>
          </w:tcPr>
          <w:p w:rsidR="00E208B6" w:rsidRPr="00C820FA" w:rsidRDefault="000E1D6D" w:rsidP="008B76BC">
            <w:pPr>
              <w:jc w:val="center"/>
              <w:rPr>
                <w:rFonts w:ascii="Garamond" w:hAnsi="Garamond"/>
                <w:sz w:val="20"/>
                <w:szCs w:val="20"/>
              </w:rPr>
            </w:pPr>
            <w:r>
              <w:rPr>
                <w:rFonts w:ascii="Garamond" w:hAnsi="Garamond"/>
                <w:sz w:val="20"/>
                <w:szCs w:val="20"/>
              </w:rPr>
              <w:t>$110</w:t>
            </w:r>
          </w:p>
        </w:tc>
      </w:tr>
      <w:tr w:rsidR="00E208B6" w:rsidTr="005A400D">
        <w:trPr>
          <w:trHeight w:val="151"/>
        </w:trPr>
        <w:tc>
          <w:tcPr>
            <w:tcW w:w="1286" w:type="dxa"/>
          </w:tcPr>
          <w:p w:rsidR="007A18A9" w:rsidRDefault="000E1D6D" w:rsidP="008B76BC">
            <w:pPr>
              <w:rPr>
                <w:sz w:val="18"/>
                <w:szCs w:val="18"/>
              </w:rPr>
            </w:pPr>
            <w:proofErr w:type="spellStart"/>
            <w:r>
              <w:rPr>
                <w:sz w:val="18"/>
                <w:szCs w:val="18"/>
              </w:rPr>
              <w:t>SunPower</w:t>
            </w:r>
            <w:proofErr w:type="spellEnd"/>
            <w:r>
              <w:rPr>
                <w:sz w:val="18"/>
                <w:szCs w:val="18"/>
              </w:rPr>
              <w:t xml:space="preserve"> Corporation</w:t>
            </w:r>
          </w:p>
          <w:p w:rsidR="000E1D6D" w:rsidRPr="00175F41" w:rsidRDefault="000E1D6D" w:rsidP="008B76BC">
            <w:pPr>
              <w:rPr>
                <w:sz w:val="18"/>
                <w:szCs w:val="18"/>
              </w:rPr>
            </w:pPr>
            <w:r>
              <w:rPr>
                <w:sz w:val="18"/>
                <w:szCs w:val="18"/>
              </w:rPr>
              <w:t>$SPWR</w:t>
            </w:r>
          </w:p>
        </w:tc>
        <w:tc>
          <w:tcPr>
            <w:tcW w:w="815" w:type="dxa"/>
          </w:tcPr>
          <w:p w:rsidR="00E208B6" w:rsidRPr="00C820FA" w:rsidRDefault="00E9058C"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E208B6" w:rsidRPr="000E1D6D" w:rsidRDefault="000E1D6D" w:rsidP="003764DD">
            <w:pPr>
              <w:rPr>
                <w:rFonts w:ascii="Garamond" w:eastAsia="Times New Roman" w:hAnsi="Garamond" w:cs="Times New Roman"/>
                <w:sz w:val="16"/>
                <w:szCs w:val="20"/>
              </w:rPr>
            </w:pPr>
            <w:proofErr w:type="spellStart"/>
            <w:r w:rsidRPr="000E1D6D">
              <w:rPr>
                <w:rFonts w:ascii="Garamond" w:hAnsi="Garamond"/>
                <w:sz w:val="16"/>
              </w:rPr>
              <w:t>SunPower</w:t>
            </w:r>
            <w:proofErr w:type="spellEnd"/>
            <w:r w:rsidRPr="000E1D6D">
              <w:rPr>
                <w:rFonts w:ascii="Garamond" w:hAnsi="Garamond"/>
                <w:sz w:val="16"/>
              </w:rPr>
              <w:t xml:space="preserve"> Corporation designs and manufactures solar equipment in order to produce renewable electricity. The company has been a pioneer in an industry that has seen 30% CAGR increase in sales over the past two decades. In the future, the solar industry is expected to skyrocket. </w:t>
            </w:r>
            <w:proofErr w:type="spellStart"/>
            <w:r w:rsidRPr="000E1D6D">
              <w:rPr>
                <w:rFonts w:ascii="Garamond" w:hAnsi="Garamond"/>
                <w:sz w:val="16"/>
              </w:rPr>
              <w:t>SunPower</w:t>
            </w:r>
            <w:proofErr w:type="spellEnd"/>
            <w:r w:rsidRPr="000E1D6D">
              <w:rPr>
                <w:rFonts w:ascii="Garamond" w:hAnsi="Garamond"/>
                <w:sz w:val="16"/>
              </w:rPr>
              <w:t xml:space="preserve"> has strong brand recognition and will take advantage of this growing market share. The demand has been particularly increasing in the commercial market. The company produces solar panels that can output more power within the same surface. Finally, </w:t>
            </w:r>
            <w:proofErr w:type="spellStart"/>
            <w:r w:rsidRPr="000E1D6D">
              <w:rPr>
                <w:rFonts w:ascii="Garamond" w:hAnsi="Garamond"/>
                <w:sz w:val="16"/>
              </w:rPr>
              <w:t>SunPower</w:t>
            </w:r>
            <w:proofErr w:type="spellEnd"/>
            <w:r w:rsidRPr="000E1D6D">
              <w:rPr>
                <w:rFonts w:ascii="Garamond" w:hAnsi="Garamond"/>
                <w:sz w:val="16"/>
              </w:rPr>
              <w:t xml:space="preserve"> developed a </w:t>
            </w:r>
            <w:proofErr w:type="spellStart"/>
            <w:r w:rsidRPr="000E1D6D">
              <w:rPr>
                <w:rFonts w:ascii="Garamond" w:hAnsi="Garamond"/>
                <w:sz w:val="16"/>
              </w:rPr>
              <w:t>Yieldco</w:t>
            </w:r>
            <w:proofErr w:type="spellEnd"/>
            <w:r w:rsidRPr="000E1D6D">
              <w:rPr>
                <w:rFonts w:ascii="Garamond" w:hAnsi="Garamond"/>
                <w:sz w:val="16"/>
              </w:rPr>
              <w:t xml:space="preserve"> with First Solar, which will generate value in the future. </w:t>
            </w:r>
          </w:p>
        </w:tc>
        <w:tc>
          <w:tcPr>
            <w:tcW w:w="1087" w:type="dxa"/>
          </w:tcPr>
          <w:p w:rsidR="00E208B6" w:rsidRPr="00C820FA" w:rsidRDefault="000E1D6D" w:rsidP="008B76BC">
            <w:pPr>
              <w:jc w:val="center"/>
              <w:rPr>
                <w:rFonts w:ascii="Garamond" w:hAnsi="Garamond"/>
                <w:sz w:val="20"/>
                <w:szCs w:val="20"/>
              </w:rPr>
            </w:pPr>
            <w:r>
              <w:rPr>
                <w:rFonts w:ascii="Garamond" w:hAnsi="Garamond"/>
                <w:sz w:val="20"/>
                <w:szCs w:val="20"/>
              </w:rPr>
              <w:t>$34.05</w:t>
            </w:r>
          </w:p>
        </w:tc>
        <w:tc>
          <w:tcPr>
            <w:tcW w:w="924" w:type="dxa"/>
          </w:tcPr>
          <w:p w:rsidR="00E208B6" w:rsidRPr="00C820FA" w:rsidRDefault="000E1D6D" w:rsidP="008B76BC">
            <w:pPr>
              <w:jc w:val="center"/>
              <w:rPr>
                <w:rFonts w:ascii="Garamond" w:hAnsi="Garamond"/>
                <w:sz w:val="20"/>
                <w:szCs w:val="20"/>
              </w:rPr>
            </w:pPr>
            <w:r>
              <w:rPr>
                <w:rFonts w:ascii="Garamond" w:hAnsi="Garamond"/>
                <w:sz w:val="20"/>
                <w:szCs w:val="20"/>
              </w:rPr>
              <w:t>$43.91</w:t>
            </w:r>
          </w:p>
        </w:tc>
      </w:tr>
      <w:tr w:rsidR="00E208B6" w:rsidTr="000E1D6D">
        <w:trPr>
          <w:trHeight w:val="944"/>
        </w:trPr>
        <w:tc>
          <w:tcPr>
            <w:tcW w:w="1286" w:type="dxa"/>
          </w:tcPr>
          <w:p w:rsidR="007A18A9" w:rsidRPr="000E1D6D" w:rsidRDefault="000E1D6D" w:rsidP="003764DD">
            <w:pPr>
              <w:rPr>
                <w:rFonts w:eastAsia="Times New Roman" w:cs="Times New Roman"/>
                <w:sz w:val="18"/>
                <w:szCs w:val="20"/>
              </w:rPr>
            </w:pPr>
            <w:r w:rsidRPr="000E1D6D">
              <w:rPr>
                <w:rFonts w:eastAsia="Times New Roman" w:cs="Times New Roman"/>
                <w:sz w:val="18"/>
                <w:szCs w:val="20"/>
              </w:rPr>
              <w:t>The Blackstone Group</w:t>
            </w:r>
          </w:p>
          <w:p w:rsidR="000E1D6D" w:rsidRPr="000E1D6D" w:rsidRDefault="000E1D6D" w:rsidP="003764DD">
            <w:pPr>
              <w:rPr>
                <w:rFonts w:eastAsia="Times New Roman" w:cs="Times New Roman"/>
                <w:sz w:val="18"/>
                <w:szCs w:val="20"/>
              </w:rPr>
            </w:pPr>
            <w:r w:rsidRPr="000E1D6D">
              <w:rPr>
                <w:rFonts w:eastAsia="Times New Roman" w:cs="Times New Roman"/>
                <w:sz w:val="18"/>
                <w:szCs w:val="20"/>
              </w:rPr>
              <w:t>$BX</w:t>
            </w:r>
          </w:p>
          <w:p w:rsidR="00860C2F" w:rsidRPr="00175F41" w:rsidRDefault="00860C2F" w:rsidP="008B76BC">
            <w:pPr>
              <w:rPr>
                <w:sz w:val="18"/>
                <w:szCs w:val="18"/>
              </w:rPr>
            </w:pPr>
          </w:p>
        </w:tc>
        <w:tc>
          <w:tcPr>
            <w:tcW w:w="815" w:type="dxa"/>
          </w:tcPr>
          <w:p w:rsidR="00E208B6" w:rsidRPr="00C820FA" w:rsidRDefault="00FA76B2" w:rsidP="008B76BC">
            <w:pPr>
              <w:jc w:val="center"/>
              <w:rPr>
                <w:rFonts w:ascii="Garamond" w:eastAsia="Arial" w:hAnsi="Garamond" w:cs="Arial"/>
                <w:color w:val="000000"/>
                <w:sz w:val="24"/>
                <w:szCs w:val="24"/>
              </w:rPr>
            </w:pPr>
            <w:r>
              <w:rPr>
                <w:rFonts w:ascii="Garamond" w:eastAsia="Arial" w:hAnsi="Garamond" w:cs="Arial"/>
                <w:color w:val="000000"/>
                <w:sz w:val="24"/>
                <w:szCs w:val="24"/>
              </w:rPr>
              <w:t>Buy</w:t>
            </w:r>
          </w:p>
        </w:tc>
        <w:tc>
          <w:tcPr>
            <w:tcW w:w="5525" w:type="dxa"/>
          </w:tcPr>
          <w:p w:rsidR="000E1D6D" w:rsidRPr="000E1D6D" w:rsidRDefault="000E1D6D" w:rsidP="000E1D6D">
            <w:pPr>
              <w:pStyle w:val="Default"/>
              <w:jc w:val="both"/>
              <w:rPr>
                <w:sz w:val="16"/>
                <w:szCs w:val="16"/>
              </w:rPr>
            </w:pPr>
            <w:r w:rsidRPr="000E1D6D">
              <w:rPr>
                <w:sz w:val="16"/>
                <w:szCs w:val="16"/>
              </w:rPr>
              <w:t xml:space="preserve">The Blackstone Group (BX) is a BUY as of March 12th, 2015 as they are the world’s largest independent alternative asset manager and one of the leading global financial advisory groups that continues to increase revenue streams while reducing costs year over year. The one year target price of $49.05 and also a high dividend yield (in 2014 roughly 6%) create a favorable investment. </w:t>
            </w:r>
          </w:p>
          <w:p w:rsidR="00D46042" w:rsidRPr="00D46042" w:rsidRDefault="00D46042" w:rsidP="00D46042">
            <w:pPr>
              <w:tabs>
                <w:tab w:val="left" w:pos="1200"/>
              </w:tabs>
              <w:jc w:val="both"/>
              <w:rPr>
                <w:rFonts w:ascii="Garamond" w:hAnsi="Garamond"/>
                <w:sz w:val="16"/>
                <w:szCs w:val="16"/>
              </w:rPr>
            </w:pPr>
          </w:p>
          <w:p w:rsidR="00E208B6" w:rsidRPr="00175F41" w:rsidRDefault="00E208B6" w:rsidP="008B76BC">
            <w:pPr>
              <w:jc w:val="both"/>
              <w:rPr>
                <w:rFonts w:ascii="Garamond" w:eastAsia="Arial" w:hAnsi="Garamond" w:cs="Arial"/>
                <w:color w:val="000000"/>
                <w:sz w:val="16"/>
                <w:szCs w:val="16"/>
              </w:rPr>
            </w:pPr>
          </w:p>
        </w:tc>
        <w:tc>
          <w:tcPr>
            <w:tcW w:w="1087" w:type="dxa"/>
          </w:tcPr>
          <w:p w:rsidR="00E208B6" w:rsidRPr="00C820FA" w:rsidRDefault="007A18A9" w:rsidP="000E1D6D">
            <w:pPr>
              <w:jc w:val="center"/>
              <w:rPr>
                <w:rFonts w:ascii="Garamond" w:hAnsi="Garamond"/>
                <w:sz w:val="20"/>
                <w:szCs w:val="20"/>
              </w:rPr>
            </w:pPr>
            <w:r>
              <w:rPr>
                <w:rFonts w:ascii="Garamond" w:hAnsi="Garamond"/>
                <w:sz w:val="20"/>
                <w:szCs w:val="20"/>
              </w:rPr>
              <w:t>$</w:t>
            </w:r>
            <w:r w:rsidR="000E1D6D">
              <w:rPr>
                <w:rFonts w:ascii="Garamond" w:hAnsi="Garamond"/>
                <w:sz w:val="20"/>
                <w:szCs w:val="20"/>
              </w:rPr>
              <w:t>38.44</w:t>
            </w:r>
          </w:p>
        </w:tc>
        <w:tc>
          <w:tcPr>
            <w:tcW w:w="924" w:type="dxa"/>
          </w:tcPr>
          <w:p w:rsidR="00E208B6" w:rsidRPr="00C820FA" w:rsidRDefault="000E1D6D" w:rsidP="00D46042">
            <w:pPr>
              <w:jc w:val="center"/>
              <w:rPr>
                <w:rFonts w:ascii="Garamond" w:hAnsi="Garamond"/>
                <w:sz w:val="20"/>
                <w:szCs w:val="20"/>
              </w:rPr>
            </w:pPr>
            <w:r>
              <w:rPr>
                <w:rFonts w:ascii="Garamond" w:hAnsi="Garamond"/>
                <w:sz w:val="20"/>
                <w:szCs w:val="20"/>
              </w:rPr>
              <w:t>$49.05</w:t>
            </w:r>
          </w:p>
        </w:tc>
      </w:tr>
    </w:tbl>
    <w:p w:rsidR="00797FCC" w:rsidRDefault="00797FCC"/>
    <w:sectPr w:rsidR="00797FCC" w:rsidSect="00FD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B"/>
    <w:rsid w:val="00033189"/>
    <w:rsid w:val="00050640"/>
    <w:rsid w:val="000E1D6D"/>
    <w:rsid w:val="000F32DB"/>
    <w:rsid w:val="001021DB"/>
    <w:rsid w:val="00162AD6"/>
    <w:rsid w:val="00175F41"/>
    <w:rsid w:val="001C55EE"/>
    <w:rsid w:val="002F1010"/>
    <w:rsid w:val="003764DD"/>
    <w:rsid w:val="0054731E"/>
    <w:rsid w:val="005A400D"/>
    <w:rsid w:val="00675616"/>
    <w:rsid w:val="00797FCC"/>
    <w:rsid w:val="007A18A9"/>
    <w:rsid w:val="00860C2F"/>
    <w:rsid w:val="008672FD"/>
    <w:rsid w:val="008851CD"/>
    <w:rsid w:val="008B76BC"/>
    <w:rsid w:val="009468EC"/>
    <w:rsid w:val="00C820FA"/>
    <w:rsid w:val="00D03B56"/>
    <w:rsid w:val="00D46042"/>
    <w:rsid w:val="00DF0B75"/>
    <w:rsid w:val="00E0245E"/>
    <w:rsid w:val="00E208B6"/>
    <w:rsid w:val="00E9058C"/>
    <w:rsid w:val="00FA76B2"/>
    <w:rsid w:val="00FD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 w:type="paragraph" w:customStyle="1" w:styleId="Default">
    <w:name w:val="Default"/>
    <w:rsid w:val="000E1D6D"/>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irst Page Titles"/>
    <w:basedOn w:val="Normal"/>
    <w:next w:val="Normal"/>
    <w:link w:val="Heading1Char"/>
    <w:uiPriority w:val="9"/>
    <w:qFormat/>
    <w:rsid w:val="00033189"/>
    <w:pPr>
      <w:spacing w:after="0"/>
      <w:outlineLvl w:val="0"/>
    </w:pPr>
    <w:rPr>
      <w:rFonts w:ascii="Garamond" w:eastAsia="Arial" w:hAnsi="Garamond" w:cs="Times New Roman"/>
      <w:b/>
      <w:color w:val="0A63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basedOn w:val="Normal"/>
    <w:link w:val="NoSpacingChar"/>
    <w:uiPriority w:val="1"/>
    <w:qFormat/>
    <w:rsid w:val="00E9058C"/>
    <w:pPr>
      <w:spacing w:after="0"/>
      <w:jc w:val="both"/>
    </w:pPr>
    <w:rPr>
      <w:rFonts w:ascii="Garamond" w:eastAsia="Arial" w:hAnsi="Garamond" w:cs="Arial"/>
      <w:color w:val="000000"/>
      <w:szCs w:val="20"/>
    </w:rPr>
  </w:style>
  <w:style w:type="character" w:customStyle="1" w:styleId="NoSpacingChar">
    <w:name w:val="No Spacing Char"/>
    <w:aliases w:val="Text Char"/>
    <w:basedOn w:val="DefaultParagraphFont"/>
    <w:link w:val="NoSpacing"/>
    <w:uiPriority w:val="1"/>
    <w:rsid w:val="00E9058C"/>
    <w:rPr>
      <w:rFonts w:ascii="Garamond" w:eastAsia="Arial" w:hAnsi="Garamond" w:cs="Arial"/>
      <w:color w:val="000000"/>
      <w:szCs w:val="20"/>
    </w:rPr>
  </w:style>
  <w:style w:type="character" w:customStyle="1" w:styleId="Heading1Char">
    <w:name w:val="Heading 1 Char"/>
    <w:aliases w:val="First Page Titles Char"/>
    <w:basedOn w:val="DefaultParagraphFont"/>
    <w:link w:val="Heading1"/>
    <w:uiPriority w:val="9"/>
    <w:rsid w:val="00033189"/>
    <w:rPr>
      <w:rFonts w:ascii="Garamond" w:eastAsia="Arial" w:hAnsi="Garamond" w:cs="Times New Roman"/>
      <w:b/>
      <w:color w:val="0A6345"/>
      <w:sz w:val="32"/>
      <w:szCs w:val="32"/>
    </w:rPr>
  </w:style>
  <w:style w:type="paragraph" w:customStyle="1" w:styleId="Default">
    <w:name w:val="Default"/>
    <w:rsid w:val="000E1D6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812">
      <w:bodyDiv w:val="1"/>
      <w:marLeft w:val="0"/>
      <w:marRight w:val="0"/>
      <w:marTop w:val="0"/>
      <w:marBottom w:val="0"/>
      <w:divBdr>
        <w:top w:val="none" w:sz="0" w:space="0" w:color="auto"/>
        <w:left w:val="none" w:sz="0" w:space="0" w:color="auto"/>
        <w:bottom w:val="none" w:sz="0" w:space="0" w:color="auto"/>
        <w:right w:val="none" w:sz="0" w:space="0" w:color="auto"/>
      </w:divBdr>
    </w:div>
    <w:div w:id="134880248">
      <w:bodyDiv w:val="1"/>
      <w:marLeft w:val="0"/>
      <w:marRight w:val="0"/>
      <w:marTop w:val="0"/>
      <w:marBottom w:val="0"/>
      <w:divBdr>
        <w:top w:val="none" w:sz="0" w:space="0" w:color="auto"/>
        <w:left w:val="none" w:sz="0" w:space="0" w:color="auto"/>
        <w:bottom w:val="none" w:sz="0" w:space="0" w:color="auto"/>
        <w:right w:val="none" w:sz="0" w:space="0" w:color="auto"/>
      </w:divBdr>
    </w:div>
    <w:div w:id="152111148">
      <w:bodyDiv w:val="1"/>
      <w:marLeft w:val="0"/>
      <w:marRight w:val="0"/>
      <w:marTop w:val="0"/>
      <w:marBottom w:val="0"/>
      <w:divBdr>
        <w:top w:val="none" w:sz="0" w:space="0" w:color="auto"/>
        <w:left w:val="none" w:sz="0" w:space="0" w:color="auto"/>
        <w:bottom w:val="none" w:sz="0" w:space="0" w:color="auto"/>
        <w:right w:val="none" w:sz="0" w:space="0" w:color="auto"/>
      </w:divBdr>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214853766">
      <w:bodyDiv w:val="1"/>
      <w:marLeft w:val="0"/>
      <w:marRight w:val="0"/>
      <w:marTop w:val="0"/>
      <w:marBottom w:val="0"/>
      <w:divBdr>
        <w:top w:val="none" w:sz="0" w:space="0" w:color="auto"/>
        <w:left w:val="none" w:sz="0" w:space="0" w:color="auto"/>
        <w:bottom w:val="none" w:sz="0" w:space="0" w:color="auto"/>
        <w:right w:val="none" w:sz="0" w:space="0" w:color="auto"/>
      </w:divBdr>
    </w:div>
    <w:div w:id="292055788">
      <w:bodyDiv w:val="1"/>
      <w:marLeft w:val="0"/>
      <w:marRight w:val="0"/>
      <w:marTop w:val="0"/>
      <w:marBottom w:val="0"/>
      <w:divBdr>
        <w:top w:val="none" w:sz="0" w:space="0" w:color="auto"/>
        <w:left w:val="none" w:sz="0" w:space="0" w:color="auto"/>
        <w:bottom w:val="none" w:sz="0" w:space="0" w:color="auto"/>
        <w:right w:val="none" w:sz="0" w:space="0" w:color="auto"/>
      </w:divBdr>
    </w:div>
    <w:div w:id="315912704">
      <w:bodyDiv w:val="1"/>
      <w:marLeft w:val="0"/>
      <w:marRight w:val="0"/>
      <w:marTop w:val="0"/>
      <w:marBottom w:val="0"/>
      <w:divBdr>
        <w:top w:val="none" w:sz="0" w:space="0" w:color="auto"/>
        <w:left w:val="none" w:sz="0" w:space="0" w:color="auto"/>
        <w:bottom w:val="none" w:sz="0" w:space="0" w:color="auto"/>
        <w:right w:val="none" w:sz="0" w:space="0" w:color="auto"/>
      </w:divBdr>
    </w:div>
    <w:div w:id="339741453">
      <w:bodyDiv w:val="1"/>
      <w:marLeft w:val="0"/>
      <w:marRight w:val="0"/>
      <w:marTop w:val="0"/>
      <w:marBottom w:val="0"/>
      <w:divBdr>
        <w:top w:val="none" w:sz="0" w:space="0" w:color="auto"/>
        <w:left w:val="none" w:sz="0" w:space="0" w:color="auto"/>
        <w:bottom w:val="none" w:sz="0" w:space="0" w:color="auto"/>
        <w:right w:val="none" w:sz="0" w:space="0" w:color="auto"/>
      </w:divBdr>
    </w:div>
    <w:div w:id="432364632">
      <w:bodyDiv w:val="1"/>
      <w:marLeft w:val="0"/>
      <w:marRight w:val="0"/>
      <w:marTop w:val="0"/>
      <w:marBottom w:val="0"/>
      <w:divBdr>
        <w:top w:val="none" w:sz="0" w:space="0" w:color="auto"/>
        <w:left w:val="none" w:sz="0" w:space="0" w:color="auto"/>
        <w:bottom w:val="none" w:sz="0" w:space="0" w:color="auto"/>
        <w:right w:val="none" w:sz="0" w:space="0" w:color="auto"/>
      </w:divBdr>
    </w:div>
    <w:div w:id="484704308">
      <w:bodyDiv w:val="1"/>
      <w:marLeft w:val="0"/>
      <w:marRight w:val="0"/>
      <w:marTop w:val="0"/>
      <w:marBottom w:val="0"/>
      <w:divBdr>
        <w:top w:val="none" w:sz="0" w:space="0" w:color="auto"/>
        <w:left w:val="none" w:sz="0" w:space="0" w:color="auto"/>
        <w:bottom w:val="none" w:sz="0" w:space="0" w:color="auto"/>
        <w:right w:val="none" w:sz="0" w:space="0" w:color="auto"/>
      </w:divBdr>
    </w:div>
    <w:div w:id="495801931">
      <w:bodyDiv w:val="1"/>
      <w:marLeft w:val="0"/>
      <w:marRight w:val="0"/>
      <w:marTop w:val="0"/>
      <w:marBottom w:val="0"/>
      <w:divBdr>
        <w:top w:val="none" w:sz="0" w:space="0" w:color="auto"/>
        <w:left w:val="none" w:sz="0" w:space="0" w:color="auto"/>
        <w:bottom w:val="none" w:sz="0" w:space="0" w:color="auto"/>
        <w:right w:val="none" w:sz="0" w:space="0" w:color="auto"/>
      </w:divBdr>
    </w:div>
    <w:div w:id="519587082">
      <w:bodyDiv w:val="1"/>
      <w:marLeft w:val="0"/>
      <w:marRight w:val="0"/>
      <w:marTop w:val="0"/>
      <w:marBottom w:val="0"/>
      <w:divBdr>
        <w:top w:val="none" w:sz="0" w:space="0" w:color="auto"/>
        <w:left w:val="none" w:sz="0" w:space="0" w:color="auto"/>
        <w:bottom w:val="none" w:sz="0" w:space="0" w:color="auto"/>
        <w:right w:val="none" w:sz="0" w:space="0" w:color="auto"/>
      </w:divBdr>
    </w:div>
    <w:div w:id="653875315">
      <w:bodyDiv w:val="1"/>
      <w:marLeft w:val="0"/>
      <w:marRight w:val="0"/>
      <w:marTop w:val="0"/>
      <w:marBottom w:val="0"/>
      <w:divBdr>
        <w:top w:val="none" w:sz="0" w:space="0" w:color="auto"/>
        <w:left w:val="none" w:sz="0" w:space="0" w:color="auto"/>
        <w:bottom w:val="none" w:sz="0" w:space="0" w:color="auto"/>
        <w:right w:val="none" w:sz="0" w:space="0" w:color="auto"/>
      </w:divBdr>
    </w:div>
    <w:div w:id="756169963">
      <w:bodyDiv w:val="1"/>
      <w:marLeft w:val="0"/>
      <w:marRight w:val="0"/>
      <w:marTop w:val="0"/>
      <w:marBottom w:val="0"/>
      <w:divBdr>
        <w:top w:val="none" w:sz="0" w:space="0" w:color="auto"/>
        <w:left w:val="none" w:sz="0" w:space="0" w:color="auto"/>
        <w:bottom w:val="none" w:sz="0" w:space="0" w:color="auto"/>
        <w:right w:val="none" w:sz="0" w:space="0" w:color="auto"/>
      </w:divBdr>
    </w:div>
    <w:div w:id="877399872">
      <w:bodyDiv w:val="1"/>
      <w:marLeft w:val="0"/>
      <w:marRight w:val="0"/>
      <w:marTop w:val="0"/>
      <w:marBottom w:val="0"/>
      <w:divBdr>
        <w:top w:val="none" w:sz="0" w:space="0" w:color="auto"/>
        <w:left w:val="none" w:sz="0" w:space="0" w:color="auto"/>
        <w:bottom w:val="none" w:sz="0" w:space="0" w:color="auto"/>
        <w:right w:val="none" w:sz="0" w:space="0" w:color="auto"/>
      </w:divBdr>
    </w:div>
    <w:div w:id="884760655">
      <w:bodyDiv w:val="1"/>
      <w:marLeft w:val="0"/>
      <w:marRight w:val="0"/>
      <w:marTop w:val="0"/>
      <w:marBottom w:val="0"/>
      <w:divBdr>
        <w:top w:val="none" w:sz="0" w:space="0" w:color="auto"/>
        <w:left w:val="none" w:sz="0" w:space="0" w:color="auto"/>
        <w:bottom w:val="none" w:sz="0" w:space="0" w:color="auto"/>
        <w:right w:val="none" w:sz="0" w:space="0" w:color="auto"/>
      </w:divBdr>
    </w:div>
    <w:div w:id="970555325">
      <w:bodyDiv w:val="1"/>
      <w:marLeft w:val="0"/>
      <w:marRight w:val="0"/>
      <w:marTop w:val="0"/>
      <w:marBottom w:val="0"/>
      <w:divBdr>
        <w:top w:val="none" w:sz="0" w:space="0" w:color="auto"/>
        <w:left w:val="none" w:sz="0" w:space="0" w:color="auto"/>
        <w:bottom w:val="none" w:sz="0" w:space="0" w:color="auto"/>
        <w:right w:val="none" w:sz="0" w:space="0" w:color="auto"/>
      </w:divBdr>
    </w:div>
    <w:div w:id="1003364584">
      <w:bodyDiv w:val="1"/>
      <w:marLeft w:val="0"/>
      <w:marRight w:val="0"/>
      <w:marTop w:val="0"/>
      <w:marBottom w:val="0"/>
      <w:divBdr>
        <w:top w:val="none" w:sz="0" w:space="0" w:color="auto"/>
        <w:left w:val="none" w:sz="0" w:space="0" w:color="auto"/>
        <w:bottom w:val="none" w:sz="0" w:space="0" w:color="auto"/>
        <w:right w:val="none" w:sz="0" w:space="0" w:color="auto"/>
      </w:divBdr>
    </w:div>
    <w:div w:id="1018388329">
      <w:bodyDiv w:val="1"/>
      <w:marLeft w:val="0"/>
      <w:marRight w:val="0"/>
      <w:marTop w:val="0"/>
      <w:marBottom w:val="0"/>
      <w:divBdr>
        <w:top w:val="none" w:sz="0" w:space="0" w:color="auto"/>
        <w:left w:val="none" w:sz="0" w:space="0" w:color="auto"/>
        <w:bottom w:val="none" w:sz="0" w:space="0" w:color="auto"/>
        <w:right w:val="none" w:sz="0" w:space="0" w:color="auto"/>
      </w:divBdr>
    </w:div>
    <w:div w:id="1040664407">
      <w:bodyDiv w:val="1"/>
      <w:marLeft w:val="0"/>
      <w:marRight w:val="0"/>
      <w:marTop w:val="0"/>
      <w:marBottom w:val="0"/>
      <w:divBdr>
        <w:top w:val="none" w:sz="0" w:space="0" w:color="auto"/>
        <w:left w:val="none" w:sz="0" w:space="0" w:color="auto"/>
        <w:bottom w:val="none" w:sz="0" w:space="0" w:color="auto"/>
        <w:right w:val="none" w:sz="0" w:space="0" w:color="auto"/>
      </w:divBdr>
    </w:div>
    <w:div w:id="1114639704">
      <w:bodyDiv w:val="1"/>
      <w:marLeft w:val="0"/>
      <w:marRight w:val="0"/>
      <w:marTop w:val="0"/>
      <w:marBottom w:val="0"/>
      <w:divBdr>
        <w:top w:val="none" w:sz="0" w:space="0" w:color="auto"/>
        <w:left w:val="none" w:sz="0" w:space="0" w:color="auto"/>
        <w:bottom w:val="none" w:sz="0" w:space="0" w:color="auto"/>
        <w:right w:val="none" w:sz="0" w:space="0" w:color="auto"/>
      </w:divBdr>
    </w:div>
    <w:div w:id="1123040211">
      <w:bodyDiv w:val="1"/>
      <w:marLeft w:val="0"/>
      <w:marRight w:val="0"/>
      <w:marTop w:val="0"/>
      <w:marBottom w:val="0"/>
      <w:divBdr>
        <w:top w:val="none" w:sz="0" w:space="0" w:color="auto"/>
        <w:left w:val="none" w:sz="0" w:space="0" w:color="auto"/>
        <w:bottom w:val="none" w:sz="0" w:space="0" w:color="auto"/>
        <w:right w:val="none" w:sz="0" w:space="0" w:color="auto"/>
      </w:divBdr>
    </w:div>
    <w:div w:id="1156723587">
      <w:bodyDiv w:val="1"/>
      <w:marLeft w:val="0"/>
      <w:marRight w:val="0"/>
      <w:marTop w:val="0"/>
      <w:marBottom w:val="0"/>
      <w:divBdr>
        <w:top w:val="none" w:sz="0" w:space="0" w:color="auto"/>
        <w:left w:val="none" w:sz="0" w:space="0" w:color="auto"/>
        <w:bottom w:val="none" w:sz="0" w:space="0" w:color="auto"/>
        <w:right w:val="none" w:sz="0" w:space="0" w:color="auto"/>
      </w:divBdr>
    </w:div>
    <w:div w:id="1190534786">
      <w:bodyDiv w:val="1"/>
      <w:marLeft w:val="0"/>
      <w:marRight w:val="0"/>
      <w:marTop w:val="0"/>
      <w:marBottom w:val="0"/>
      <w:divBdr>
        <w:top w:val="none" w:sz="0" w:space="0" w:color="auto"/>
        <w:left w:val="none" w:sz="0" w:space="0" w:color="auto"/>
        <w:bottom w:val="none" w:sz="0" w:space="0" w:color="auto"/>
        <w:right w:val="none" w:sz="0" w:space="0" w:color="auto"/>
      </w:divBdr>
    </w:div>
    <w:div w:id="1193036583">
      <w:bodyDiv w:val="1"/>
      <w:marLeft w:val="0"/>
      <w:marRight w:val="0"/>
      <w:marTop w:val="0"/>
      <w:marBottom w:val="0"/>
      <w:divBdr>
        <w:top w:val="none" w:sz="0" w:space="0" w:color="auto"/>
        <w:left w:val="none" w:sz="0" w:space="0" w:color="auto"/>
        <w:bottom w:val="none" w:sz="0" w:space="0" w:color="auto"/>
        <w:right w:val="none" w:sz="0" w:space="0" w:color="auto"/>
      </w:divBdr>
    </w:div>
    <w:div w:id="1257521593">
      <w:bodyDiv w:val="1"/>
      <w:marLeft w:val="0"/>
      <w:marRight w:val="0"/>
      <w:marTop w:val="0"/>
      <w:marBottom w:val="0"/>
      <w:divBdr>
        <w:top w:val="none" w:sz="0" w:space="0" w:color="auto"/>
        <w:left w:val="none" w:sz="0" w:space="0" w:color="auto"/>
        <w:bottom w:val="none" w:sz="0" w:space="0" w:color="auto"/>
        <w:right w:val="none" w:sz="0" w:space="0" w:color="auto"/>
      </w:divBdr>
    </w:div>
    <w:div w:id="1286235849">
      <w:bodyDiv w:val="1"/>
      <w:marLeft w:val="0"/>
      <w:marRight w:val="0"/>
      <w:marTop w:val="0"/>
      <w:marBottom w:val="0"/>
      <w:divBdr>
        <w:top w:val="none" w:sz="0" w:space="0" w:color="auto"/>
        <w:left w:val="none" w:sz="0" w:space="0" w:color="auto"/>
        <w:bottom w:val="none" w:sz="0" w:space="0" w:color="auto"/>
        <w:right w:val="none" w:sz="0" w:space="0" w:color="auto"/>
      </w:divBdr>
    </w:div>
    <w:div w:id="1327830798">
      <w:bodyDiv w:val="1"/>
      <w:marLeft w:val="0"/>
      <w:marRight w:val="0"/>
      <w:marTop w:val="0"/>
      <w:marBottom w:val="0"/>
      <w:divBdr>
        <w:top w:val="none" w:sz="0" w:space="0" w:color="auto"/>
        <w:left w:val="none" w:sz="0" w:space="0" w:color="auto"/>
        <w:bottom w:val="none" w:sz="0" w:space="0" w:color="auto"/>
        <w:right w:val="none" w:sz="0" w:space="0" w:color="auto"/>
      </w:divBdr>
    </w:div>
    <w:div w:id="1367751509">
      <w:bodyDiv w:val="1"/>
      <w:marLeft w:val="0"/>
      <w:marRight w:val="0"/>
      <w:marTop w:val="0"/>
      <w:marBottom w:val="0"/>
      <w:divBdr>
        <w:top w:val="none" w:sz="0" w:space="0" w:color="auto"/>
        <w:left w:val="none" w:sz="0" w:space="0" w:color="auto"/>
        <w:bottom w:val="none" w:sz="0" w:space="0" w:color="auto"/>
        <w:right w:val="none" w:sz="0" w:space="0" w:color="auto"/>
      </w:divBdr>
    </w:div>
    <w:div w:id="1369650159">
      <w:bodyDiv w:val="1"/>
      <w:marLeft w:val="0"/>
      <w:marRight w:val="0"/>
      <w:marTop w:val="0"/>
      <w:marBottom w:val="0"/>
      <w:divBdr>
        <w:top w:val="none" w:sz="0" w:space="0" w:color="auto"/>
        <w:left w:val="none" w:sz="0" w:space="0" w:color="auto"/>
        <w:bottom w:val="none" w:sz="0" w:space="0" w:color="auto"/>
        <w:right w:val="none" w:sz="0" w:space="0" w:color="auto"/>
      </w:divBdr>
    </w:div>
    <w:div w:id="1371144467">
      <w:bodyDiv w:val="1"/>
      <w:marLeft w:val="0"/>
      <w:marRight w:val="0"/>
      <w:marTop w:val="0"/>
      <w:marBottom w:val="0"/>
      <w:divBdr>
        <w:top w:val="none" w:sz="0" w:space="0" w:color="auto"/>
        <w:left w:val="none" w:sz="0" w:space="0" w:color="auto"/>
        <w:bottom w:val="none" w:sz="0" w:space="0" w:color="auto"/>
        <w:right w:val="none" w:sz="0" w:space="0" w:color="auto"/>
      </w:divBdr>
    </w:div>
    <w:div w:id="1437486319">
      <w:bodyDiv w:val="1"/>
      <w:marLeft w:val="0"/>
      <w:marRight w:val="0"/>
      <w:marTop w:val="0"/>
      <w:marBottom w:val="0"/>
      <w:divBdr>
        <w:top w:val="none" w:sz="0" w:space="0" w:color="auto"/>
        <w:left w:val="none" w:sz="0" w:space="0" w:color="auto"/>
        <w:bottom w:val="none" w:sz="0" w:space="0" w:color="auto"/>
        <w:right w:val="none" w:sz="0" w:space="0" w:color="auto"/>
      </w:divBdr>
    </w:div>
    <w:div w:id="1476147675">
      <w:bodyDiv w:val="1"/>
      <w:marLeft w:val="0"/>
      <w:marRight w:val="0"/>
      <w:marTop w:val="0"/>
      <w:marBottom w:val="0"/>
      <w:divBdr>
        <w:top w:val="none" w:sz="0" w:space="0" w:color="auto"/>
        <w:left w:val="none" w:sz="0" w:space="0" w:color="auto"/>
        <w:bottom w:val="none" w:sz="0" w:space="0" w:color="auto"/>
        <w:right w:val="none" w:sz="0" w:space="0" w:color="auto"/>
      </w:divBdr>
    </w:div>
    <w:div w:id="1481388943">
      <w:bodyDiv w:val="1"/>
      <w:marLeft w:val="0"/>
      <w:marRight w:val="0"/>
      <w:marTop w:val="0"/>
      <w:marBottom w:val="0"/>
      <w:divBdr>
        <w:top w:val="none" w:sz="0" w:space="0" w:color="auto"/>
        <w:left w:val="none" w:sz="0" w:space="0" w:color="auto"/>
        <w:bottom w:val="none" w:sz="0" w:space="0" w:color="auto"/>
        <w:right w:val="none" w:sz="0" w:space="0" w:color="auto"/>
      </w:divBdr>
    </w:div>
    <w:div w:id="1544056092">
      <w:bodyDiv w:val="1"/>
      <w:marLeft w:val="0"/>
      <w:marRight w:val="0"/>
      <w:marTop w:val="0"/>
      <w:marBottom w:val="0"/>
      <w:divBdr>
        <w:top w:val="none" w:sz="0" w:space="0" w:color="auto"/>
        <w:left w:val="none" w:sz="0" w:space="0" w:color="auto"/>
        <w:bottom w:val="none" w:sz="0" w:space="0" w:color="auto"/>
        <w:right w:val="none" w:sz="0" w:space="0" w:color="auto"/>
      </w:divBdr>
    </w:div>
    <w:div w:id="1553924500">
      <w:bodyDiv w:val="1"/>
      <w:marLeft w:val="0"/>
      <w:marRight w:val="0"/>
      <w:marTop w:val="0"/>
      <w:marBottom w:val="0"/>
      <w:divBdr>
        <w:top w:val="none" w:sz="0" w:space="0" w:color="auto"/>
        <w:left w:val="none" w:sz="0" w:space="0" w:color="auto"/>
        <w:bottom w:val="none" w:sz="0" w:space="0" w:color="auto"/>
        <w:right w:val="none" w:sz="0" w:space="0" w:color="auto"/>
      </w:divBdr>
    </w:div>
    <w:div w:id="1563640361">
      <w:bodyDiv w:val="1"/>
      <w:marLeft w:val="0"/>
      <w:marRight w:val="0"/>
      <w:marTop w:val="0"/>
      <w:marBottom w:val="0"/>
      <w:divBdr>
        <w:top w:val="none" w:sz="0" w:space="0" w:color="auto"/>
        <w:left w:val="none" w:sz="0" w:space="0" w:color="auto"/>
        <w:bottom w:val="none" w:sz="0" w:space="0" w:color="auto"/>
        <w:right w:val="none" w:sz="0" w:space="0" w:color="auto"/>
      </w:divBdr>
    </w:div>
    <w:div w:id="1584298421">
      <w:bodyDiv w:val="1"/>
      <w:marLeft w:val="0"/>
      <w:marRight w:val="0"/>
      <w:marTop w:val="0"/>
      <w:marBottom w:val="0"/>
      <w:divBdr>
        <w:top w:val="none" w:sz="0" w:space="0" w:color="auto"/>
        <w:left w:val="none" w:sz="0" w:space="0" w:color="auto"/>
        <w:bottom w:val="none" w:sz="0" w:space="0" w:color="auto"/>
        <w:right w:val="none" w:sz="0" w:space="0" w:color="auto"/>
      </w:divBdr>
    </w:div>
    <w:div w:id="1588689882">
      <w:bodyDiv w:val="1"/>
      <w:marLeft w:val="0"/>
      <w:marRight w:val="0"/>
      <w:marTop w:val="0"/>
      <w:marBottom w:val="0"/>
      <w:divBdr>
        <w:top w:val="none" w:sz="0" w:space="0" w:color="auto"/>
        <w:left w:val="none" w:sz="0" w:space="0" w:color="auto"/>
        <w:bottom w:val="none" w:sz="0" w:space="0" w:color="auto"/>
        <w:right w:val="none" w:sz="0" w:space="0" w:color="auto"/>
      </w:divBdr>
    </w:div>
    <w:div w:id="1606428199">
      <w:bodyDiv w:val="1"/>
      <w:marLeft w:val="0"/>
      <w:marRight w:val="0"/>
      <w:marTop w:val="0"/>
      <w:marBottom w:val="0"/>
      <w:divBdr>
        <w:top w:val="none" w:sz="0" w:space="0" w:color="auto"/>
        <w:left w:val="none" w:sz="0" w:space="0" w:color="auto"/>
        <w:bottom w:val="none" w:sz="0" w:space="0" w:color="auto"/>
        <w:right w:val="none" w:sz="0" w:space="0" w:color="auto"/>
      </w:divBdr>
    </w:div>
    <w:div w:id="1621453280">
      <w:bodyDiv w:val="1"/>
      <w:marLeft w:val="0"/>
      <w:marRight w:val="0"/>
      <w:marTop w:val="0"/>
      <w:marBottom w:val="0"/>
      <w:divBdr>
        <w:top w:val="none" w:sz="0" w:space="0" w:color="auto"/>
        <w:left w:val="none" w:sz="0" w:space="0" w:color="auto"/>
        <w:bottom w:val="none" w:sz="0" w:space="0" w:color="auto"/>
        <w:right w:val="none" w:sz="0" w:space="0" w:color="auto"/>
      </w:divBdr>
    </w:div>
    <w:div w:id="1678462121">
      <w:bodyDiv w:val="1"/>
      <w:marLeft w:val="0"/>
      <w:marRight w:val="0"/>
      <w:marTop w:val="0"/>
      <w:marBottom w:val="0"/>
      <w:divBdr>
        <w:top w:val="none" w:sz="0" w:space="0" w:color="auto"/>
        <w:left w:val="none" w:sz="0" w:space="0" w:color="auto"/>
        <w:bottom w:val="none" w:sz="0" w:space="0" w:color="auto"/>
        <w:right w:val="none" w:sz="0" w:space="0" w:color="auto"/>
      </w:divBdr>
    </w:div>
    <w:div w:id="1714886067">
      <w:bodyDiv w:val="1"/>
      <w:marLeft w:val="0"/>
      <w:marRight w:val="0"/>
      <w:marTop w:val="0"/>
      <w:marBottom w:val="0"/>
      <w:divBdr>
        <w:top w:val="none" w:sz="0" w:space="0" w:color="auto"/>
        <w:left w:val="none" w:sz="0" w:space="0" w:color="auto"/>
        <w:bottom w:val="none" w:sz="0" w:space="0" w:color="auto"/>
        <w:right w:val="none" w:sz="0" w:space="0" w:color="auto"/>
      </w:divBdr>
    </w:div>
    <w:div w:id="1721320620">
      <w:bodyDiv w:val="1"/>
      <w:marLeft w:val="0"/>
      <w:marRight w:val="0"/>
      <w:marTop w:val="0"/>
      <w:marBottom w:val="0"/>
      <w:divBdr>
        <w:top w:val="none" w:sz="0" w:space="0" w:color="auto"/>
        <w:left w:val="none" w:sz="0" w:space="0" w:color="auto"/>
        <w:bottom w:val="none" w:sz="0" w:space="0" w:color="auto"/>
        <w:right w:val="none" w:sz="0" w:space="0" w:color="auto"/>
      </w:divBdr>
    </w:div>
    <w:div w:id="1890610864">
      <w:bodyDiv w:val="1"/>
      <w:marLeft w:val="0"/>
      <w:marRight w:val="0"/>
      <w:marTop w:val="0"/>
      <w:marBottom w:val="0"/>
      <w:divBdr>
        <w:top w:val="none" w:sz="0" w:space="0" w:color="auto"/>
        <w:left w:val="none" w:sz="0" w:space="0" w:color="auto"/>
        <w:bottom w:val="none" w:sz="0" w:space="0" w:color="auto"/>
        <w:right w:val="none" w:sz="0" w:space="0" w:color="auto"/>
      </w:divBdr>
    </w:div>
    <w:div w:id="1941179545">
      <w:bodyDiv w:val="1"/>
      <w:marLeft w:val="0"/>
      <w:marRight w:val="0"/>
      <w:marTop w:val="0"/>
      <w:marBottom w:val="0"/>
      <w:divBdr>
        <w:top w:val="none" w:sz="0" w:space="0" w:color="auto"/>
        <w:left w:val="none" w:sz="0" w:space="0" w:color="auto"/>
        <w:bottom w:val="none" w:sz="0" w:space="0" w:color="auto"/>
        <w:right w:val="none" w:sz="0" w:space="0" w:color="auto"/>
      </w:divBdr>
    </w:div>
    <w:div w:id="1953173179">
      <w:bodyDiv w:val="1"/>
      <w:marLeft w:val="0"/>
      <w:marRight w:val="0"/>
      <w:marTop w:val="0"/>
      <w:marBottom w:val="0"/>
      <w:divBdr>
        <w:top w:val="none" w:sz="0" w:space="0" w:color="auto"/>
        <w:left w:val="none" w:sz="0" w:space="0" w:color="auto"/>
        <w:bottom w:val="none" w:sz="0" w:space="0" w:color="auto"/>
        <w:right w:val="none" w:sz="0" w:space="0" w:color="auto"/>
      </w:divBdr>
    </w:div>
    <w:div w:id="1970672666">
      <w:bodyDiv w:val="1"/>
      <w:marLeft w:val="0"/>
      <w:marRight w:val="0"/>
      <w:marTop w:val="0"/>
      <w:marBottom w:val="0"/>
      <w:divBdr>
        <w:top w:val="none" w:sz="0" w:space="0" w:color="auto"/>
        <w:left w:val="none" w:sz="0" w:space="0" w:color="auto"/>
        <w:bottom w:val="none" w:sz="0" w:space="0" w:color="auto"/>
        <w:right w:val="none" w:sz="0" w:space="0" w:color="auto"/>
      </w:divBdr>
    </w:div>
    <w:div w:id="2107144413">
      <w:bodyDiv w:val="1"/>
      <w:marLeft w:val="0"/>
      <w:marRight w:val="0"/>
      <w:marTop w:val="0"/>
      <w:marBottom w:val="0"/>
      <w:divBdr>
        <w:top w:val="none" w:sz="0" w:space="0" w:color="auto"/>
        <w:left w:val="none" w:sz="0" w:space="0" w:color="auto"/>
        <w:bottom w:val="none" w:sz="0" w:space="0" w:color="auto"/>
        <w:right w:val="none" w:sz="0" w:space="0" w:color="auto"/>
      </w:divBdr>
    </w:div>
    <w:div w:id="21242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Rajeski, Tyler</dc:creator>
  <cp:lastModifiedBy>Tyler</cp:lastModifiedBy>
  <cp:revision>2</cp:revision>
  <dcterms:created xsi:type="dcterms:W3CDTF">2015-04-28T00:29:00Z</dcterms:created>
  <dcterms:modified xsi:type="dcterms:W3CDTF">2015-04-28T00:29:00Z</dcterms:modified>
</cp:coreProperties>
</file>