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874" w:rsidRDefault="00723DC9" w:rsidP="00723DC9">
      <w:pPr>
        <w:jc w:val="center"/>
        <w:rPr>
          <w:rFonts w:ascii="Garamond" w:hAnsi="Garamond"/>
          <w:sz w:val="32"/>
          <w:szCs w:val="32"/>
          <w:u w:val="single"/>
        </w:rPr>
      </w:pPr>
      <w:bookmarkStart w:id="0" w:name="_GoBack"/>
      <w:bookmarkEnd w:id="0"/>
      <w:r w:rsidRPr="00723DC9">
        <w:rPr>
          <w:rFonts w:ascii="Garamond" w:hAnsi="Garamond"/>
          <w:sz w:val="32"/>
          <w:szCs w:val="32"/>
          <w:u w:val="single"/>
        </w:rPr>
        <w:t>Bond Report</w:t>
      </w:r>
    </w:p>
    <w:p w:rsidR="00723DC9" w:rsidRDefault="00723DC9" w:rsidP="00723DC9">
      <w:pPr>
        <w:rPr>
          <w:rFonts w:ascii="Garamond" w:hAnsi="Garamond"/>
          <w:sz w:val="24"/>
          <w:szCs w:val="24"/>
        </w:rPr>
      </w:pPr>
      <w:r>
        <w:rPr>
          <w:rFonts w:ascii="Garamond" w:hAnsi="Garamond"/>
          <w:sz w:val="24"/>
          <w:szCs w:val="24"/>
        </w:rPr>
        <w:tab/>
        <w:t xml:space="preserve">U.S. Treasury bonds have posted the longest “winning streak” in 3 months this past week. </w:t>
      </w:r>
      <w:r w:rsidR="00507A2C">
        <w:rPr>
          <w:rFonts w:ascii="Garamond" w:hAnsi="Garamond"/>
          <w:sz w:val="24"/>
          <w:szCs w:val="24"/>
        </w:rPr>
        <w:t>The rally lasted all week, with b</w:t>
      </w:r>
      <w:r>
        <w:rPr>
          <w:rFonts w:ascii="Garamond" w:hAnsi="Garamond"/>
          <w:sz w:val="24"/>
          <w:szCs w:val="24"/>
        </w:rPr>
        <w:t>onds hi</w:t>
      </w:r>
      <w:r w:rsidR="00507A2C">
        <w:rPr>
          <w:rFonts w:ascii="Garamond" w:hAnsi="Garamond"/>
          <w:sz w:val="24"/>
          <w:szCs w:val="24"/>
        </w:rPr>
        <w:t>tting</w:t>
      </w:r>
      <w:r>
        <w:rPr>
          <w:rFonts w:ascii="Garamond" w:hAnsi="Garamond"/>
          <w:sz w:val="24"/>
          <w:szCs w:val="24"/>
        </w:rPr>
        <w:t xml:space="preserve"> the mile stone on Thursday, March 16</w:t>
      </w:r>
      <w:r w:rsidRPr="00507A2C">
        <w:rPr>
          <w:rFonts w:ascii="Garamond" w:hAnsi="Garamond"/>
          <w:sz w:val="24"/>
          <w:szCs w:val="24"/>
          <w:vertAlign w:val="superscript"/>
        </w:rPr>
        <w:t>th</w:t>
      </w:r>
      <w:r w:rsidR="00507A2C">
        <w:rPr>
          <w:rFonts w:ascii="Garamond" w:hAnsi="Garamond"/>
          <w:sz w:val="24"/>
          <w:szCs w:val="24"/>
        </w:rPr>
        <w:t xml:space="preserve">, and continuing the streak on Friday and in to the weekend.  The yield on benchmark 10-year treasury notes </w:t>
      </w:r>
      <w:r w:rsidR="00703C65">
        <w:rPr>
          <w:rFonts w:ascii="Garamond" w:hAnsi="Garamond"/>
          <w:sz w:val="24"/>
          <w:szCs w:val="24"/>
        </w:rPr>
        <w:t>began the week on Monday at 1.94%, and continued to in to Friday closing out the weekend at 1.87%. Renewed concerns over Greece’s potential default prompted the demand for less risky assets over the past week and a half. In addition, bond prices also received a boost from President Dennis Lockhart with the Federal Reserve Bank of Atlanta, who announced “unexpected economic weakness over the start of the year means the Fed can be patient in raising short-term interest rates.”</w:t>
      </w:r>
      <w:r w:rsidR="00CE588A">
        <w:rPr>
          <w:rFonts w:ascii="Garamond" w:hAnsi="Garamond"/>
          <w:sz w:val="24"/>
          <w:szCs w:val="24"/>
        </w:rPr>
        <w:t xml:space="preserve">  Bond prices did fall</w:t>
      </w:r>
      <w:r w:rsidR="00F829FF">
        <w:rPr>
          <w:rFonts w:ascii="Garamond" w:hAnsi="Garamond"/>
          <w:sz w:val="24"/>
          <w:szCs w:val="24"/>
        </w:rPr>
        <w:t xml:space="preserve"> slightly during the morning session of Thursday as a result of Federal Reserve Vice Chairman, Stanley Fisher, announced that he “sees signs of wage pressure building and that the U.S. economy will regain momentum from the soft patch during the first quarter.”</w:t>
      </w:r>
      <w:r w:rsidR="004F3A00">
        <w:rPr>
          <w:rFonts w:ascii="Garamond" w:hAnsi="Garamond"/>
          <w:sz w:val="24"/>
          <w:szCs w:val="24"/>
        </w:rPr>
        <w:t xml:space="preserve"> Announcements such as this continue to cause bond prices and corresponding yields to remain extremely volatile.  Investors are concerned that a rise in interest rates could shrink the value of outstanding bonds, but unfavorable economic announcements have </w:t>
      </w:r>
      <w:r w:rsidR="00CE588A">
        <w:rPr>
          <w:rFonts w:ascii="Garamond" w:hAnsi="Garamond"/>
          <w:sz w:val="24"/>
          <w:szCs w:val="24"/>
        </w:rPr>
        <w:t>created doubts about it happening in June. Stock markets around the world have struggled also sending German, U.K., and Japan’s bonds lower as well.</w:t>
      </w:r>
    </w:p>
    <w:p w:rsidR="00803330" w:rsidRDefault="00803330" w:rsidP="00723DC9">
      <w:pPr>
        <w:rPr>
          <w:rFonts w:ascii="Garamond" w:hAnsi="Garamond"/>
          <w:sz w:val="24"/>
          <w:szCs w:val="24"/>
        </w:rPr>
      </w:pPr>
    </w:p>
    <w:p w:rsidR="0034101E" w:rsidRDefault="0034101E" w:rsidP="00723DC9">
      <w:pPr>
        <w:rPr>
          <w:rFonts w:ascii="Garamond" w:hAnsi="Garamond"/>
          <w:sz w:val="24"/>
          <w:szCs w:val="24"/>
        </w:rPr>
      </w:pPr>
      <w:r>
        <w:rPr>
          <w:noProof/>
        </w:rPr>
        <w:drawing>
          <wp:inline distT="0" distB="0" distL="0" distR="0" wp14:anchorId="135A334D" wp14:editId="6C97C713">
            <wp:extent cx="5783283" cy="2937909"/>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0100" t="17964" r="-122" b="18508"/>
                    <a:stretch/>
                  </pic:blipFill>
                  <pic:spPr bwMode="auto">
                    <a:xfrm>
                      <a:off x="0" y="0"/>
                      <a:ext cx="5791597" cy="2942133"/>
                    </a:xfrm>
                    <a:prstGeom prst="rect">
                      <a:avLst/>
                    </a:prstGeom>
                    <a:ln>
                      <a:noFill/>
                    </a:ln>
                    <a:extLst>
                      <a:ext uri="{53640926-AAD7-44D8-BBD7-CCE9431645EC}">
                        <a14:shadowObscured xmlns:a14="http://schemas.microsoft.com/office/drawing/2010/main"/>
                      </a:ext>
                    </a:extLst>
                  </pic:spPr>
                </pic:pic>
              </a:graphicData>
            </a:graphic>
          </wp:inline>
        </w:drawing>
      </w:r>
    </w:p>
    <w:p w:rsidR="00616E3E" w:rsidRDefault="0034101E" w:rsidP="00723DC9">
      <w:pPr>
        <w:rPr>
          <w:rFonts w:ascii="Garamond" w:hAnsi="Garamond"/>
          <w:sz w:val="24"/>
          <w:szCs w:val="24"/>
        </w:rPr>
      </w:pPr>
      <w:r>
        <w:rPr>
          <w:noProof/>
        </w:rPr>
        <w:lastRenderedPageBreak/>
        <w:drawing>
          <wp:inline distT="0" distB="0" distL="0" distR="0" wp14:anchorId="5D3D1F44" wp14:editId="5F426790">
            <wp:extent cx="5783283" cy="2799111"/>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0100" t="17465" r="-121" b="22010"/>
                    <a:stretch/>
                  </pic:blipFill>
                  <pic:spPr bwMode="auto">
                    <a:xfrm>
                      <a:off x="0" y="0"/>
                      <a:ext cx="5791515" cy="2803095"/>
                    </a:xfrm>
                    <a:prstGeom prst="rect">
                      <a:avLst/>
                    </a:prstGeom>
                    <a:ln>
                      <a:noFill/>
                    </a:ln>
                    <a:extLst>
                      <a:ext uri="{53640926-AAD7-44D8-BBD7-CCE9431645EC}">
                        <a14:shadowObscured xmlns:a14="http://schemas.microsoft.com/office/drawing/2010/main"/>
                      </a:ext>
                    </a:extLst>
                  </pic:spPr>
                </pic:pic>
              </a:graphicData>
            </a:graphic>
          </wp:inline>
        </w:drawing>
      </w:r>
    </w:p>
    <w:p w:rsidR="0075592F" w:rsidRDefault="0075592F" w:rsidP="00723DC9">
      <w:pPr>
        <w:rPr>
          <w:rFonts w:ascii="Garamond" w:hAnsi="Garamond"/>
          <w:sz w:val="24"/>
          <w:szCs w:val="24"/>
        </w:rPr>
      </w:pPr>
    </w:p>
    <w:p w:rsidR="001A7288" w:rsidRDefault="001A7288" w:rsidP="001A7288">
      <w:pPr>
        <w:jc w:val="center"/>
        <w:rPr>
          <w:rFonts w:ascii="Garamond" w:hAnsi="Garamond"/>
          <w:sz w:val="32"/>
          <w:szCs w:val="32"/>
          <w:u w:val="single"/>
        </w:rPr>
      </w:pPr>
      <w:r w:rsidRPr="001A7288">
        <w:rPr>
          <w:rFonts w:ascii="Garamond" w:hAnsi="Garamond"/>
          <w:sz w:val="32"/>
          <w:szCs w:val="32"/>
          <w:u w:val="single"/>
        </w:rPr>
        <w:t xml:space="preserve">What’s Next &amp; Key </w:t>
      </w:r>
      <w:proofErr w:type="gramStart"/>
      <w:r w:rsidRPr="001A7288">
        <w:rPr>
          <w:rFonts w:ascii="Garamond" w:hAnsi="Garamond"/>
          <w:sz w:val="32"/>
          <w:szCs w:val="32"/>
          <w:u w:val="single"/>
        </w:rPr>
        <w:t>Earnings</w:t>
      </w:r>
      <w:proofErr w:type="gramEnd"/>
    </w:p>
    <w:p w:rsidR="001A7288" w:rsidRDefault="001A7288" w:rsidP="00DC4C18">
      <w:pPr>
        <w:rPr>
          <w:rFonts w:ascii="Garamond" w:hAnsi="Garamond"/>
          <w:sz w:val="24"/>
          <w:szCs w:val="24"/>
        </w:rPr>
      </w:pPr>
      <w:r>
        <w:rPr>
          <w:rFonts w:ascii="Garamond" w:hAnsi="Garamond"/>
          <w:sz w:val="24"/>
          <w:szCs w:val="24"/>
        </w:rPr>
        <w:t xml:space="preserve">On Wednesday, April </w:t>
      </w:r>
      <w:r w:rsidR="00DC4C18">
        <w:rPr>
          <w:rFonts w:ascii="Garamond" w:hAnsi="Garamond"/>
          <w:sz w:val="24"/>
          <w:szCs w:val="24"/>
        </w:rPr>
        <w:t>22</w:t>
      </w:r>
      <w:r w:rsidR="00DC4C18" w:rsidRPr="00DC4C18">
        <w:rPr>
          <w:rFonts w:ascii="Garamond" w:hAnsi="Garamond"/>
          <w:sz w:val="24"/>
          <w:szCs w:val="24"/>
          <w:vertAlign w:val="superscript"/>
        </w:rPr>
        <w:t>nd</w:t>
      </w:r>
      <w:r w:rsidR="00DC4C18">
        <w:rPr>
          <w:rFonts w:ascii="Garamond" w:hAnsi="Garamond"/>
          <w:sz w:val="24"/>
          <w:szCs w:val="24"/>
        </w:rPr>
        <w:t xml:space="preserve">, Existing Home Sales for March report will be released. </w:t>
      </w:r>
      <w:r w:rsidR="00DC4C18" w:rsidRPr="00DC4C18">
        <w:rPr>
          <w:rFonts w:ascii="Garamond" w:hAnsi="Garamond"/>
          <w:sz w:val="24"/>
          <w:szCs w:val="24"/>
        </w:rPr>
        <w:t>Existing Home Sales measures the change in the annualized number of existing residential buildings that were sold during the previous month. This report helps to gauge the strength of the U.S. housing market and is a key indicator of overall economic strength.</w:t>
      </w:r>
    </w:p>
    <w:p w:rsidR="00DC4C18" w:rsidRDefault="00DC4C18" w:rsidP="001A7288">
      <w:pPr>
        <w:rPr>
          <w:rFonts w:ascii="Garamond" w:hAnsi="Garamond"/>
          <w:sz w:val="24"/>
          <w:szCs w:val="24"/>
        </w:rPr>
      </w:pPr>
      <w:r>
        <w:rPr>
          <w:rFonts w:ascii="Garamond" w:hAnsi="Garamond"/>
          <w:sz w:val="24"/>
          <w:szCs w:val="24"/>
        </w:rPr>
        <w:t>On Thursday, April 23</w:t>
      </w:r>
      <w:r w:rsidRPr="00DC4C18">
        <w:rPr>
          <w:rFonts w:ascii="Garamond" w:hAnsi="Garamond"/>
          <w:sz w:val="24"/>
          <w:szCs w:val="24"/>
          <w:vertAlign w:val="superscript"/>
        </w:rPr>
        <w:t>rd</w:t>
      </w:r>
      <w:r>
        <w:rPr>
          <w:rFonts w:ascii="Garamond" w:hAnsi="Garamond"/>
          <w:sz w:val="24"/>
          <w:szCs w:val="24"/>
        </w:rPr>
        <w:t xml:space="preserve">, New Home Sales report will be released for March. </w:t>
      </w:r>
      <w:r w:rsidRPr="00DC4C18">
        <w:rPr>
          <w:rFonts w:ascii="Garamond" w:hAnsi="Garamond"/>
          <w:sz w:val="24"/>
          <w:szCs w:val="24"/>
        </w:rPr>
        <w:t>New Home Sales measures the annualized number of new single-family homes that were sold during the previous month. This report tends to have more impact when it's released ahead of Existing Home Sales because the reports are tightly correlated.</w:t>
      </w:r>
    </w:p>
    <w:p w:rsidR="00DC4C18" w:rsidRDefault="00DC4C18" w:rsidP="001A7288">
      <w:pPr>
        <w:rPr>
          <w:rFonts w:ascii="Garamond" w:hAnsi="Garamond"/>
          <w:sz w:val="24"/>
          <w:szCs w:val="24"/>
        </w:rPr>
      </w:pPr>
      <w:r>
        <w:rPr>
          <w:rFonts w:ascii="Garamond" w:hAnsi="Garamond"/>
          <w:sz w:val="24"/>
          <w:szCs w:val="24"/>
        </w:rPr>
        <w:t>On Friday, April 24</w:t>
      </w:r>
      <w:r w:rsidRPr="00DC4C18">
        <w:rPr>
          <w:rFonts w:ascii="Garamond" w:hAnsi="Garamond"/>
          <w:sz w:val="24"/>
          <w:szCs w:val="24"/>
          <w:vertAlign w:val="superscript"/>
        </w:rPr>
        <w:t>th</w:t>
      </w:r>
      <w:r>
        <w:rPr>
          <w:rFonts w:ascii="Garamond" w:hAnsi="Garamond"/>
          <w:sz w:val="24"/>
          <w:szCs w:val="24"/>
        </w:rPr>
        <w:t xml:space="preserve">, Core Durable Goods Orders for March will be released. </w:t>
      </w:r>
      <w:r w:rsidRPr="00DC4C18">
        <w:rPr>
          <w:rFonts w:ascii="Garamond" w:hAnsi="Garamond"/>
          <w:sz w:val="24"/>
          <w:szCs w:val="24"/>
        </w:rPr>
        <w:t>Core Durable Goods Orders measures the change in the total value of new orders for long lasting manufactured goods, excluding transportation items. Because aircraft orders are very volatile, the core number gives a better gauge of ordering trends. A higher reading indicates increased manufacturing activity.</w:t>
      </w:r>
      <w:r>
        <w:rPr>
          <w:rFonts w:ascii="Garamond" w:hAnsi="Garamond"/>
          <w:sz w:val="24"/>
          <w:szCs w:val="24"/>
        </w:rPr>
        <w:t xml:space="preserve"> Durable Goods Orders will also be released. </w:t>
      </w:r>
      <w:r w:rsidRPr="00DC4C18">
        <w:rPr>
          <w:rFonts w:ascii="Garamond" w:hAnsi="Garamond"/>
          <w:sz w:val="24"/>
          <w:szCs w:val="24"/>
        </w:rPr>
        <w:t>Durable Goods Orders measures the change in the total value of new orders for long lasting manufactured goods, including transportation items.</w:t>
      </w:r>
      <w:r>
        <w:rPr>
          <w:rFonts w:ascii="Garamond" w:hAnsi="Garamond"/>
          <w:sz w:val="24"/>
          <w:szCs w:val="24"/>
        </w:rPr>
        <w:t xml:space="preserve"> </w:t>
      </w:r>
    </w:p>
    <w:p w:rsidR="00252D74" w:rsidRDefault="00252D74" w:rsidP="001A7288">
      <w:pPr>
        <w:rPr>
          <w:rFonts w:ascii="Garamond" w:hAnsi="Garamond"/>
          <w:sz w:val="24"/>
          <w:szCs w:val="24"/>
        </w:rPr>
      </w:pPr>
    </w:p>
    <w:p w:rsidR="00252D74" w:rsidRDefault="00252D74" w:rsidP="001A7288">
      <w:pPr>
        <w:rPr>
          <w:rFonts w:ascii="Garamond" w:hAnsi="Garamond"/>
          <w:sz w:val="24"/>
          <w:szCs w:val="24"/>
        </w:rPr>
      </w:pPr>
    </w:p>
    <w:p w:rsidR="00252D74" w:rsidRDefault="000B78CB" w:rsidP="001A7288">
      <w:pPr>
        <w:rPr>
          <w:rFonts w:ascii="Garamond" w:hAnsi="Garamond"/>
          <w:sz w:val="24"/>
          <w:szCs w:val="24"/>
        </w:rPr>
      </w:pPr>
      <w:r>
        <w:rPr>
          <w:noProof/>
        </w:rPr>
        <w:lastRenderedPageBreak/>
        <w:drawing>
          <wp:inline distT="0" distB="0" distL="0" distR="0" wp14:anchorId="4C80DA78" wp14:editId="6387426A">
            <wp:extent cx="6009806" cy="33725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204" t="20996" r="38380" b="31673"/>
                    <a:stretch/>
                  </pic:blipFill>
                  <pic:spPr bwMode="auto">
                    <a:xfrm>
                      <a:off x="0" y="0"/>
                      <a:ext cx="6022179" cy="3379535"/>
                    </a:xfrm>
                    <a:prstGeom prst="rect">
                      <a:avLst/>
                    </a:prstGeom>
                    <a:ln>
                      <a:noFill/>
                    </a:ln>
                    <a:extLst>
                      <a:ext uri="{53640926-AAD7-44D8-BBD7-CCE9431645EC}">
                        <a14:shadowObscured xmlns:a14="http://schemas.microsoft.com/office/drawing/2010/main"/>
                      </a:ext>
                    </a:extLst>
                  </pic:spPr>
                </pic:pic>
              </a:graphicData>
            </a:graphic>
          </wp:inline>
        </w:drawing>
      </w:r>
    </w:p>
    <w:p w:rsidR="000B78CB" w:rsidRDefault="000B78CB" w:rsidP="001A7288">
      <w:pPr>
        <w:rPr>
          <w:rFonts w:ascii="Garamond" w:hAnsi="Garamond"/>
          <w:sz w:val="24"/>
          <w:szCs w:val="24"/>
        </w:rPr>
      </w:pPr>
      <w:r>
        <w:rPr>
          <w:noProof/>
        </w:rPr>
        <w:lastRenderedPageBreak/>
        <w:drawing>
          <wp:inline distT="0" distB="0" distL="0" distR="0" wp14:anchorId="67A87A8D" wp14:editId="5203AFE7">
            <wp:extent cx="6157135" cy="55695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204" t="17082" r="37580" b="5338"/>
                    <a:stretch/>
                  </pic:blipFill>
                  <pic:spPr bwMode="auto">
                    <a:xfrm>
                      <a:off x="0" y="0"/>
                      <a:ext cx="6169153" cy="5580398"/>
                    </a:xfrm>
                    <a:prstGeom prst="rect">
                      <a:avLst/>
                    </a:prstGeom>
                    <a:ln>
                      <a:noFill/>
                    </a:ln>
                    <a:extLst>
                      <a:ext uri="{53640926-AAD7-44D8-BBD7-CCE9431645EC}">
                        <a14:shadowObscured xmlns:a14="http://schemas.microsoft.com/office/drawing/2010/main"/>
                      </a:ext>
                    </a:extLst>
                  </pic:spPr>
                </pic:pic>
              </a:graphicData>
            </a:graphic>
          </wp:inline>
        </w:drawing>
      </w:r>
    </w:p>
    <w:p w:rsidR="000B78CB" w:rsidRDefault="000B78CB" w:rsidP="001A7288">
      <w:pPr>
        <w:rPr>
          <w:rFonts w:ascii="Garamond" w:hAnsi="Garamond"/>
          <w:sz w:val="24"/>
          <w:szCs w:val="24"/>
        </w:rPr>
      </w:pPr>
      <w:r>
        <w:rPr>
          <w:noProof/>
        </w:rPr>
        <w:lastRenderedPageBreak/>
        <w:drawing>
          <wp:inline distT="0" distB="0" distL="0" distR="0" wp14:anchorId="180B80EA" wp14:editId="70D41DD2">
            <wp:extent cx="6032665" cy="369661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604" t="18861" r="38381" b="29893"/>
                    <a:stretch/>
                  </pic:blipFill>
                  <pic:spPr bwMode="auto">
                    <a:xfrm>
                      <a:off x="0" y="0"/>
                      <a:ext cx="6040627" cy="3701492"/>
                    </a:xfrm>
                    <a:prstGeom prst="rect">
                      <a:avLst/>
                    </a:prstGeom>
                    <a:ln>
                      <a:noFill/>
                    </a:ln>
                    <a:extLst>
                      <a:ext uri="{53640926-AAD7-44D8-BBD7-CCE9431645EC}">
                        <a14:shadowObscured xmlns:a14="http://schemas.microsoft.com/office/drawing/2010/main"/>
                      </a:ext>
                    </a:extLst>
                  </pic:spPr>
                </pic:pic>
              </a:graphicData>
            </a:graphic>
          </wp:inline>
        </w:drawing>
      </w:r>
    </w:p>
    <w:p w:rsidR="000B78CB" w:rsidRDefault="000B78CB" w:rsidP="001A7288">
      <w:pPr>
        <w:rPr>
          <w:rFonts w:ascii="Garamond" w:hAnsi="Garamond"/>
          <w:sz w:val="24"/>
          <w:szCs w:val="24"/>
        </w:rPr>
      </w:pPr>
      <w:r>
        <w:rPr>
          <w:noProof/>
        </w:rPr>
        <w:lastRenderedPageBreak/>
        <w:drawing>
          <wp:inline distT="0" distB="0" distL="0" distR="0" wp14:anchorId="7AF78FEF" wp14:editId="3CE1B0CB">
            <wp:extent cx="6032665" cy="562367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404" t="16014" r="38381" b="5693"/>
                    <a:stretch/>
                  </pic:blipFill>
                  <pic:spPr bwMode="auto">
                    <a:xfrm>
                      <a:off x="0" y="0"/>
                      <a:ext cx="6040625" cy="5631091"/>
                    </a:xfrm>
                    <a:prstGeom prst="rect">
                      <a:avLst/>
                    </a:prstGeom>
                    <a:ln>
                      <a:noFill/>
                    </a:ln>
                    <a:extLst>
                      <a:ext uri="{53640926-AAD7-44D8-BBD7-CCE9431645EC}">
                        <a14:shadowObscured xmlns:a14="http://schemas.microsoft.com/office/drawing/2010/main"/>
                      </a:ext>
                    </a:extLst>
                  </pic:spPr>
                </pic:pic>
              </a:graphicData>
            </a:graphic>
          </wp:inline>
        </w:drawing>
      </w:r>
    </w:p>
    <w:p w:rsidR="000B78CB" w:rsidRDefault="000B78CB" w:rsidP="001A7288">
      <w:pPr>
        <w:rPr>
          <w:rFonts w:ascii="Garamond" w:hAnsi="Garamond"/>
          <w:sz w:val="24"/>
          <w:szCs w:val="24"/>
        </w:rPr>
      </w:pPr>
      <w:r>
        <w:rPr>
          <w:noProof/>
        </w:rPr>
        <w:lastRenderedPageBreak/>
        <w:drawing>
          <wp:inline distT="0" distB="0" distL="0" distR="0" wp14:anchorId="4A927375" wp14:editId="6EF7D922">
            <wp:extent cx="6228917" cy="564077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604" t="19216" r="38781" b="5694"/>
                    <a:stretch/>
                  </pic:blipFill>
                  <pic:spPr bwMode="auto">
                    <a:xfrm>
                      <a:off x="0" y="0"/>
                      <a:ext cx="6237136" cy="5648222"/>
                    </a:xfrm>
                    <a:prstGeom prst="rect">
                      <a:avLst/>
                    </a:prstGeom>
                    <a:ln>
                      <a:noFill/>
                    </a:ln>
                    <a:extLst>
                      <a:ext uri="{53640926-AAD7-44D8-BBD7-CCE9431645EC}">
                        <a14:shadowObscured xmlns:a14="http://schemas.microsoft.com/office/drawing/2010/main"/>
                      </a:ext>
                    </a:extLst>
                  </pic:spPr>
                </pic:pic>
              </a:graphicData>
            </a:graphic>
          </wp:inline>
        </w:drawing>
      </w:r>
    </w:p>
    <w:p w:rsidR="000B78CB" w:rsidRDefault="000B78CB" w:rsidP="001A7288">
      <w:pPr>
        <w:rPr>
          <w:rFonts w:ascii="Garamond" w:hAnsi="Garamond"/>
          <w:sz w:val="24"/>
          <w:szCs w:val="24"/>
        </w:rPr>
      </w:pPr>
      <w:r>
        <w:rPr>
          <w:noProof/>
        </w:rPr>
        <w:lastRenderedPageBreak/>
        <w:drawing>
          <wp:inline distT="0" distB="0" distL="0" distR="0" wp14:anchorId="7DB635F1" wp14:editId="0B2F3BE6">
            <wp:extent cx="5902036" cy="545566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204" t="16370" r="38180" b="5338"/>
                    <a:stretch/>
                  </pic:blipFill>
                  <pic:spPr bwMode="auto">
                    <a:xfrm>
                      <a:off x="0" y="0"/>
                      <a:ext cx="5909825" cy="5462863"/>
                    </a:xfrm>
                    <a:prstGeom prst="rect">
                      <a:avLst/>
                    </a:prstGeom>
                    <a:ln>
                      <a:noFill/>
                    </a:ln>
                    <a:extLst>
                      <a:ext uri="{53640926-AAD7-44D8-BBD7-CCE9431645EC}">
                        <a14:shadowObscured xmlns:a14="http://schemas.microsoft.com/office/drawing/2010/main"/>
                      </a:ext>
                    </a:extLst>
                  </pic:spPr>
                </pic:pic>
              </a:graphicData>
            </a:graphic>
          </wp:inline>
        </w:drawing>
      </w:r>
    </w:p>
    <w:p w:rsidR="000B78CB" w:rsidRDefault="000B78CB" w:rsidP="001A7288">
      <w:pPr>
        <w:rPr>
          <w:rFonts w:ascii="Garamond" w:hAnsi="Garamond"/>
          <w:sz w:val="24"/>
          <w:szCs w:val="24"/>
        </w:rPr>
      </w:pPr>
      <w:r>
        <w:rPr>
          <w:noProof/>
        </w:rPr>
        <w:lastRenderedPageBreak/>
        <w:drawing>
          <wp:inline distT="0" distB="0" distL="0" distR="0" wp14:anchorId="71155AF8" wp14:editId="22B1B68D">
            <wp:extent cx="5913912" cy="54007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204" t="16014" r="37380" b="5338"/>
                    <a:stretch/>
                  </pic:blipFill>
                  <pic:spPr bwMode="auto">
                    <a:xfrm>
                      <a:off x="0" y="0"/>
                      <a:ext cx="5921717" cy="5407847"/>
                    </a:xfrm>
                    <a:prstGeom prst="rect">
                      <a:avLst/>
                    </a:prstGeom>
                    <a:ln>
                      <a:noFill/>
                    </a:ln>
                    <a:extLst>
                      <a:ext uri="{53640926-AAD7-44D8-BBD7-CCE9431645EC}">
                        <a14:shadowObscured xmlns:a14="http://schemas.microsoft.com/office/drawing/2010/main"/>
                      </a:ext>
                    </a:extLst>
                  </pic:spPr>
                </pic:pic>
              </a:graphicData>
            </a:graphic>
          </wp:inline>
        </w:drawing>
      </w:r>
    </w:p>
    <w:p w:rsidR="00D2248D" w:rsidRDefault="00D2248D" w:rsidP="001A7288">
      <w:pPr>
        <w:rPr>
          <w:rFonts w:ascii="Garamond" w:hAnsi="Garamond"/>
          <w:sz w:val="24"/>
          <w:szCs w:val="24"/>
        </w:rPr>
      </w:pPr>
      <w:r>
        <w:rPr>
          <w:noProof/>
        </w:rPr>
        <w:drawing>
          <wp:inline distT="0" distB="0" distL="0" distR="0" wp14:anchorId="1737E652" wp14:editId="44C34659">
            <wp:extent cx="5759532" cy="262242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404" t="35587" r="38580" b="26335"/>
                    <a:stretch/>
                  </pic:blipFill>
                  <pic:spPr bwMode="auto">
                    <a:xfrm>
                      <a:off x="0" y="0"/>
                      <a:ext cx="5767133" cy="2625887"/>
                    </a:xfrm>
                    <a:prstGeom prst="rect">
                      <a:avLst/>
                    </a:prstGeom>
                    <a:ln>
                      <a:noFill/>
                    </a:ln>
                    <a:extLst>
                      <a:ext uri="{53640926-AAD7-44D8-BBD7-CCE9431645EC}">
                        <a14:shadowObscured xmlns:a14="http://schemas.microsoft.com/office/drawing/2010/main"/>
                      </a:ext>
                    </a:extLst>
                  </pic:spPr>
                </pic:pic>
              </a:graphicData>
            </a:graphic>
          </wp:inline>
        </w:drawing>
      </w:r>
    </w:p>
    <w:p w:rsidR="00D2248D" w:rsidRPr="001A7288" w:rsidRDefault="00D2248D" w:rsidP="001A7288">
      <w:pPr>
        <w:rPr>
          <w:rFonts w:ascii="Garamond" w:hAnsi="Garamond"/>
          <w:sz w:val="24"/>
          <w:szCs w:val="24"/>
        </w:rPr>
      </w:pPr>
      <w:r>
        <w:rPr>
          <w:noProof/>
        </w:rPr>
        <w:lastRenderedPageBreak/>
        <w:drawing>
          <wp:inline distT="0" distB="0" distL="0" distR="0" wp14:anchorId="7FBC886D" wp14:editId="4022D2C6">
            <wp:extent cx="5700156" cy="439588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404" t="22776" r="38381" b="12455"/>
                    <a:stretch/>
                  </pic:blipFill>
                  <pic:spPr bwMode="auto">
                    <a:xfrm>
                      <a:off x="0" y="0"/>
                      <a:ext cx="5707679" cy="4401682"/>
                    </a:xfrm>
                    <a:prstGeom prst="rect">
                      <a:avLst/>
                    </a:prstGeom>
                    <a:ln>
                      <a:noFill/>
                    </a:ln>
                    <a:extLst>
                      <a:ext uri="{53640926-AAD7-44D8-BBD7-CCE9431645EC}">
                        <a14:shadowObscured xmlns:a14="http://schemas.microsoft.com/office/drawing/2010/main"/>
                      </a:ext>
                    </a:extLst>
                  </pic:spPr>
                </pic:pic>
              </a:graphicData>
            </a:graphic>
          </wp:inline>
        </w:drawing>
      </w:r>
    </w:p>
    <w:sectPr w:rsidR="00D2248D" w:rsidRPr="001A7288">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141" w:rsidRDefault="008C3141" w:rsidP="0034101E">
      <w:pPr>
        <w:spacing w:after="0" w:line="240" w:lineRule="auto"/>
      </w:pPr>
      <w:r>
        <w:separator/>
      </w:r>
    </w:p>
  </w:endnote>
  <w:endnote w:type="continuationSeparator" w:id="0">
    <w:p w:rsidR="008C3141" w:rsidRDefault="008C3141" w:rsidP="00341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01E" w:rsidRDefault="003410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01E" w:rsidRDefault="003410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01E" w:rsidRDefault="003410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141" w:rsidRDefault="008C3141" w:rsidP="0034101E">
      <w:pPr>
        <w:spacing w:after="0" w:line="240" w:lineRule="auto"/>
      </w:pPr>
      <w:r>
        <w:separator/>
      </w:r>
    </w:p>
  </w:footnote>
  <w:footnote w:type="continuationSeparator" w:id="0">
    <w:p w:rsidR="008C3141" w:rsidRDefault="008C3141" w:rsidP="003410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01E" w:rsidRDefault="003410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01E" w:rsidRDefault="003410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01E" w:rsidRDefault="003410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DC9"/>
    <w:rsid w:val="00000359"/>
    <w:rsid w:val="00004ECA"/>
    <w:rsid w:val="00030BDC"/>
    <w:rsid w:val="0003627F"/>
    <w:rsid w:val="0004496E"/>
    <w:rsid w:val="000534DB"/>
    <w:rsid w:val="00087CDB"/>
    <w:rsid w:val="00096333"/>
    <w:rsid w:val="000B3EEE"/>
    <w:rsid w:val="000B78CB"/>
    <w:rsid w:val="000E4BB1"/>
    <w:rsid w:val="0013557B"/>
    <w:rsid w:val="00157AC6"/>
    <w:rsid w:val="001610EA"/>
    <w:rsid w:val="001703E7"/>
    <w:rsid w:val="001747F5"/>
    <w:rsid w:val="00174CF0"/>
    <w:rsid w:val="001834A5"/>
    <w:rsid w:val="00192BF0"/>
    <w:rsid w:val="001A627E"/>
    <w:rsid w:val="001A7288"/>
    <w:rsid w:val="001C72EA"/>
    <w:rsid w:val="001D642A"/>
    <w:rsid w:val="002268A9"/>
    <w:rsid w:val="002460AC"/>
    <w:rsid w:val="00252D74"/>
    <w:rsid w:val="00276C24"/>
    <w:rsid w:val="002C1D3D"/>
    <w:rsid w:val="003038A1"/>
    <w:rsid w:val="0034101E"/>
    <w:rsid w:val="003442CB"/>
    <w:rsid w:val="00353009"/>
    <w:rsid w:val="003744EE"/>
    <w:rsid w:val="003753FC"/>
    <w:rsid w:val="0039005B"/>
    <w:rsid w:val="00392236"/>
    <w:rsid w:val="00394846"/>
    <w:rsid w:val="003C2BD0"/>
    <w:rsid w:val="003C3AF3"/>
    <w:rsid w:val="003D1D2A"/>
    <w:rsid w:val="003D4659"/>
    <w:rsid w:val="003E7EDE"/>
    <w:rsid w:val="003F4FC5"/>
    <w:rsid w:val="004215BE"/>
    <w:rsid w:val="00425F27"/>
    <w:rsid w:val="00455445"/>
    <w:rsid w:val="004560B8"/>
    <w:rsid w:val="004706C2"/>
    <w:rsid w:val="00470E45"/>
    <w:rsid w:val="004725BB"/>
    <w:rsid w:val="00496F51"/>
    <w:rsid w:val="004A050A"/>
    <w:rsid w:val="004A4C47"/>
    <w:rsid w:val="004A7913"/>
    <w:rsid w:val="004E4E01"/>
    <w:rsid w:val="004F0DE3"/>
    <w:rsid w:val="004F3A00"/>
    <w:rsid w:val="004F521E"/>
    <w:rsid w:val="00507A2C"/>
    <w:rsid w:val="00522A8A"/>
    <w:rsid w:val="005336FD"/>
    <w:rsid w:val="00536965"/>
    <w:rsid w:val="0057294F"/>
    <w:rsid w:val="005B1DE7"/>
    <w:rsid w:val="005B7200"/>
    <w:rsid w:val="0060738E"/>
    <w:rsid w:val="00607BAC"/>
    <w:rsid w:val="00616E3E"/>
    <w:rsid w:val="00641E87"/>
    <w:rsid w:val="00643153"/>
    <w:rsid w:val="00653D9C"/>
    <w:rsid w:val="00660101"/>
    <w:rsid w:val="00665154"/>
    <w:rsid w:val="006A158D"/>
    <w:rsid w:val="006C6809"/>
    <w:rsid w:val="006E6FB6"/>
    <w:rsid w:val="006F7A3F"/>
    <w:rsid w:val="00703C65"/>
    <w:rsid w:val="007060CA"/>
    <w:rsid w:val="00723DC9"/>
    <w:rsid w:val="007257BC"/>
    <w:rsid w:val="007334A7"/>
    <w:rsid w:val="00741096"/>
    <w:rsid w:val="00744DE3"/>
    <w:rsid w:val="00750500"/>
    <w:rsid w:val="007530F9"/>
    <w:rsid w:val="00754152"/>
    <w:rsid w:val="0075592F"/>
    <w:rsid w:val="00760604"/>
    <w:rsid w:val="007649E2"/>
    <w:rsid w:val="00780AD9"/>
    <w:rsid w:val="00780C8D"/>
    <w:rsid w:val="00786834"/>
    <w:rsid w:val="007944CB"/>
    <w:rsid w:val="007C4B3B"/>
    <w:rsid w:val="007E4E02"/>
    <w:rsid w:val="008022A4"/>
    <w:rsid w:val="00802358"/>
    <w:rsid w:val="00803330"/>
    <w:rsid w:val="00806B22"/>
    <w:rsid w:val="00825959"/>
    <w:rsid w:val="00831726"/>
    <w:rsid w:val="008325EC"/>
    <w:rsid w:val="00863570"/>
    <w:rsid w:val="0089158B"/>
    <w:rsid w:val="0089626E"/>
    <w:rsid w:val="008A2D58"/>
    <w:rsid w:val="008B392B"/>
    <w:rsid w:val="008C3141"/>
    <w:rsid w:val="008C3398"/>
    <w:rsid w:val="008D1EA5"/>
    <w:rsid w:val="008D40A5"/>
    <w:rsid w:val="008D6C56"/>
    <w:rsid w:val="008E55AB"/>
    <w:rsid w:val="008F54D9"/>
    <w:rsid w:val="00922680"/>
    <w:rsid w:val="009334D0"/>
    <w:rsid w:val="00933A85"/>
    <w:rsid w:val="0094439C"/>
    <w:rsid w:val="009659C9"/>
    <w:rsid w:val="00985EB5"/>
    <w:rsid w:val="009A75D8"/>
    <w:rsid w:val="009E3DC1"/>
    <w:rsid w:val="009F03B6"/>
    <w:rsid w:val="009F0DAB"/>
    <w:rsid w:val="00A05966"/>
    <w:rsid w:val="00A175B3"/>
    <w:rsid w:val="00A271FF"/>
    <w:rsid w:val="00A510F0"/>
    <w:rsid w:val="00A668B6"/>
    <w:rsid w:val="00A7356B"/>
    <w:rsid w:val="00A91C30"/>
    <w:rsid w:val="00AD600C"/>
    <w:rsid w:val="00AD704B"/>
    <w:rsid w:val="00AE1137"/>
    <w:rsid w:val="00AE1D07"/>
    <w:rsid w:val="00B0698E"/>
    <w:rsid w:val="00B20616"/>
    <w:rsid w:val="00B60C48"/>
    <w:rsid w:val="00B64BD0"/>
    <w:rsid w:val="00B954C4"/>
    <w:rsid w:val="00BA1978"/>
    <w:rsid w:val="00BD193E"/>
    <w:rsid w:val="00BD407C"/>
    <w:rsid w:val="00BD6C20"/>
    <w:rsid w:val="00BF0A31"/>
    <w:rsid w:val="00C05192"/>
    <w:rsid w:val="00C12298"/>
    <w:rsid w:val="00C21321"/>
    <w:rsid w:val="00C263E7"/>
    <w:rsid w:val="00C35A45"/>
    <w:rsid w:val="00C618EE"/>
    <w:rsid w:val="00C62980"/>
    <w:rsid w:val="00C95245"/>
    <w:rsid w:val="00CC6F0C"/>
    <w:rsid w:val="00CD0398"/>
    <w:rsid w:val="00CE588A"/>
    <w:rsid w:val="00CF2585"/>
    <w:rsid w:val="00D0469B"/>
    <w:rsid w:val="00D2248D"/>
    <w:rsid w:val="00D26525"/>
    <w:rsid w:val="00D31AFF"/>
    <w:rsid w:val="00D33840"/>
    <w:rsid w:val="00D70FD5"/>
    <w:rsid w:val="00D7376A"/>
    <w:rsid w:val="00D91A30"/>
    <w:rsid w:val="00DB067E"/>
    <w:rsid w:val="00DB1178"/>
    <w:rsid w:val="00DC36E7"/>
    <w:rsid w:val="00DC4C18"/>
    <w:rsid w:val="00DD452B"/>
    <w:rsid w:val="00DF52F4"/>
    <w:rsid w:val="00E0005E"/>
    <w:rsid w:val="00E14BB2"/>
    <w:rsid w:val="00E414C2"/>
    <w:rsid w:val="00E46FA5"/>
    <w:rsid w:val="00EB761D"/>
    <w:rsid w:val="00EC022F"/>
    <w:rsid w:val="00ED12A0"/>
    <w:rsid w:val="00EF34F7"/>
    <w:rsid w:val="00F0576A"/>
    <w:rsid w:val="00F249F4"/>
    <w:rsid w:val="00F24BFA"/>
    <w:rsid w:val="00F33B78"/>
    <w:rsid w:val="00F42E3C"/>
    <w:rsid w:val="00F452A2"/>
    <w:rsid w:val="00F7370B"/>
    <w:rsid w:val="00F829FF"/>
    <w:rsid w:val="00F95E8B"/>
    <w:rsid w:val="00FA6259"/>
    <w:rsid w:val="00FA74B5"/>
    <w:rsid w:val="00FB5585"/>
    <w:rsid w:val="00FC2874"/>
    <w:rsid w:val="00FC68A5"/>
    <w:rsid w:val="00FE5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7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8CB"/>
    <w:rPr>
      <w:rFonts w:ascii="Tahoma" w:hAnsi="Tahoma" w:cs="Tahoma"/>
      <w:sz w:val="16"/>
      <w:szCs w:val="16"/>
    </w:rPr>
  </w:style>
  <w:style w:type="paragraph" w:styleId="Header">
    <w:name w:val="header"/>
    <w:basedOn w:val="Normal"/>
    <w:link w:val="HeaderChar"/>
    <w:uiPriority w:val="99"/>
    <w:unhideWhenUsed/>
    <w:rsid w:val="003410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01E"/>
  </w:style>
  <w:style w:type="paragraph" w:styleId="Footer">
    <w:name w:val="footer"/>
    <w:basedOn w:val="Normal"/>
    <w:link w:val="FooterChar"/>
    <w:uiPriority w:val="99"/>
    <w:unhideWhenUsed/>
    <w:rsid w:val="003410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0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7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8CB"/>
    <w:rPr>
      <w:rFonts w:ascii="Tahoma" w:hAnsi="Tahoma" w:cs="Tahoma"/>
      <w:sz w:val="16"/>
      <w:szCs w:val="16"/>
    </w:rPr>
  </w:style>
  <w:style w:type="paragraph" w:styleId="Header">
    <w:name w:val="header"/>
    <w:basedOn w:val="Normal"/>
    <w:link w:val="HeaderChar"/>
    <w:uiPriority w:val="99"/>
    <w:unhideWhenUsed/>
    <w:rsid w:val="003410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01E"/>
  </w:style>
  <w:style w:type="paragraph" w:styleId="Footer">
    <w:name w:val="footer"/>
    <w:basedOn w:val="Normal"/>
    <w:link w:val="FooterChar"/>
    <w:uiPriority w:val="99"/>
    <w:unhideWhenUsed/>
    <w:rsid w:val="003410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410</Words>
  <Characters>2340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Siena College</Company>
  <LinksUpToDate>false</LinksUpToDate>
  <CharactersWithSpaces>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dc:creator>
  <cp:lastModifiedBy>Tyler</cp:lastModifiedBy>
  <cp:revision>2</cp:revision>
  <dcterms:created xsi:type="dcterms:W3CDTF">2015-04-19T23:00:00Z</dcterms:created>
  <dcterms:modified xsi:type="dcterms:W3CDTF">2015-04-19T23:00:00Z</dcterms:modified>
</cp:coreProperties>
</file>