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CD0" w:rsidRDefault="00277CD0" w:rsidP="00277CD0">
      <w:pPr>
        <w:jc w:val="center"/>
        <w:rPr>
          <w:rFonts w:ascii="Garamond" w:hAnsi="Garamond"/>
          <w:sz w:val="32"/>
          <w:szCs w:val="32"/>
          <w:u w:val="single"/>
        </w:rPr>
      </w:pPr>
      <w:bookmarkStart w:id="0" w:name="_GoBack"/>
      <w:bookmarkEnd w:id="0"/>
      <w:r w:rsidRPr="00277CD0">
        <w:rPr>
          <w:rFonts w:ascii="Garamond" w:hAnsi="Garamond"/>
          <w:sz w:val="32"/>
          <w:szCs w:val="32"/>
          <w:u w:val="single"/>
        </w:rPr>
        <w:t>Bond Report</w:t>
      </w:r>
    </w:p>
    <w:p w:rsidR="00277CD0" w:rsidRDefault="00277CD0" w:rsidP="00277CD0">
      <w:pPr>
        <w:rPr>
          <w:rFonts w:ascii="Garamond" w:hAnsi="Garamond"/>
          <w:sz w:val="24"/>
          <w:szCs w:val="24"/>
        </w:rPr>
      </w:pPr>
      <w:r>
        <w:rPr>
          <w:rFonts w:ascii="Garamond" w:hAnsi="Garamond"/>
          <w:sz w:val="24"/>
          <w:szCs w:val="24"/>
        </w:rPr>
        <w:tab/>
        <w:t>U.S. Treasury Bonds increased on Friday, lowering yields from higher mid-week yields. Most notably, bond prices increased on Friday, April 24</w:t>
      </w:r>
      <w:r w:rsidRPr="00277CD0">
        <w:rPr>
          <w:rFonts w:ascii="Garamond" w:hAnsi="Garamond"/>
          <w:sz w:val="24"/>
          <w:szCs w:val="24"/>
          <w:vertAlign w:val="superscript"/>
        </w:rPr>
        <w:t>th</w:t>
      </w:r>
      <w:r>
        <w:rPr>
          <w:rFonts w:ascii="Garamond" w:hAnsi="Garamond"/>
          <w:sz w:val="24"/>
          <w:szCs w:val="24"/>
        </w:rPr>
        <w:t>. This is due to signs of weak business investing from worries that the economy will not be able to bounce back from last quarter. Yields rose mid-week to 1.99% on Wednesday, April 22</w:t>
      </w:r>
      <w:r w:rsidRPr="00277CD0">
        <w:rPr>
          <w:rFonts w:ascii="Garamond" w:hAnsi="Garamond"/>
          <w:sz w:val="24"/>
          <w:szCs w:val="24"/>
          <w:vertAlign w:val="superscript"/>
        </w:rPr>
        <w:t>nd</w:t>
      </w:r>
      <w:r>
        <w:rPr>
          <w:rFonts w:ascii="Garamond" w:hAnsi="Garamond"/>
          <w:sz w:val="24"/>
          <w:szCs w:val="24"/>
        </w:rPr>
        <w:t xml:space="preserve"> </w:t>
      </w:r>
      <w:r w:rsidR="005F5F6A">
        <w:rPr>
          <w:rFonts w:ascii="Garamond" w:hAnsi="Garamond"/>
          <w:sz w:val="24"/>
          <w:szCs w:val="24"/>
        </w:rPr>
        <w:t xml:space="preserve">and fell down as low as 1.91% on Friday, </w:t>
      </w:r>
      <w:r>
        <w:rPr>
          <w:rFonts w:ascii="Garamond" w:hAnsi="Garamond"/>
          <w:sz w:val="24"/>
          <w:szCs w:val="24"/>
        </w:rPr>
        <w:t xml:space="preserve">marking the biggest two day increase in </w:t>
      </w:r>
      <w:r w:rsidR="005F5F6A">
        <w:rPr>
          <w:rFonts w:ascii="Garamond" w:hAnsi="Garamond"/>
          <w:sz w:val="24"/>
          <w:szCs w:val="24"/>
        </w:rPr>
        <w:t>prices this month.</w:t>
      </w:r>
      <w:r w:rsidR="0024258D">
        <w:rPr>
          <w:rFonts w:ascii="Garamond" w:hAnsi="Garamond"/>
          <w:sz w:val="24"/>
          <w:szCs w:val="24"/>
        </w:rPr>
        <w:t xml:space="preserve"> A report released this past week noted Nondefense capital goods fell .5% in March which is the seventh straight decline. This information has continued to scare investors who are already anxious over the expected Quarter 1 of 2015 economic slowdown. This report signaled investors that spring my not be very favorable for the economy as well. As a result, demand has picked up for safer U.S. Treasuries. </w:t>
      </w:r>
      <w:r w:rsidR="0024258D" w:rsidRPr="0024258D">
        <w:rPr>
          <w:rFonts w:ascii="Garamond" w:hAnsi="Garamond"/>
          <w:sz w:val="24"/>
          <w:szCs w:val="24"/>
        </w:rPr>
        <w:t>“Yields seem to be driven by economic data, which have been disappointing this week,” said Sharon Stark, fixed-income strategist at D.A. Davidson</w:t>
      </w:r>
      <w:r w:rsidR="00BB24C2">
        <w:rPr>
          <w:rFonts w:ascii="Garamond" w:hAnsi="Garamond"/>
          <w:sz w:val="24"/>
          <w:szCs w:val="24"/>
        </w:rPr>
        <w:t xml:space="preserve">. Bond investors continue </w:t>
      </w:r>
      <w:r w:rsidR="00F73097">
        <w:rPr>
          <w:rFonts w:ascii="Garamond" w:hAnsi="Garamond"/>
          <w:sz w:val="24"/>
          <w:szCs w:val="24"/>
        </w:rPr>
        <w:t>to remain extremely speculative while waiting to see if economic data will show improvements and support the need for an interest rate increase in 2015 or wait until 2016. Many Federal Reserve officials have acknowledged expectations of disappointing economic data for Quarter 1 of this year, but feels the economic slowdown is temporary. The next Fed’s meetings will be this week on April 28-29 and will release an updated policy statement.</w:t>
      </w:r>
    </w:p>
    <w:p w:rsidR="00D36A40" w:rsidRDefault="00D36A40" w:rsidP="00277CD0">
      <w:pPr>
        <w:rPr>
          <w:rFonts w:ascii="Garamond" w:hAnsi="Garamond"/>
          <w:sz w:val="24"/>
          <w:szCs w:val="24"/>
        </w:rPr>
      </w:pPr>
    </w:p>
    <w:p w:rsidR="00D36A40" w:rsidRDefault="00D36A40" w:rsidP="00277CD0">
      <w:pPr>
        <w:rPr>
          <w:rFonts w:ascii="Garamond" w:hAnsi="Garamond"/>
          <w:sz w:val="24"/>
          <w:szCs w:val="24"/>
        </w:rPr>
      </w:pPr>
      <w:r>
        <w:rPr>
          <w:noProof/>
        </w:rPr>
        <w:drawing>
          <wp:inline distT="0" distB="0" distL="0" distR="0" wp14:anchorId="5312945A" wp14:editId="2E54C06E">
            <wp:extent cx="5795158" cy="288630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100" t="17465" r="-1521" b="18508"/>
                    <a:stretch/>
                  </pic:blipFill>
                  <pic:spPr bwMode="auto">
                    <a:xfrm>
                      <a:off x="0" y="0"/>
                      <a:ext cx="5803410" cy="2890414"/>
                    </a:xfrm>
                    <a:prstGeom prst="rect">
                      <a:avLst/>
                    </a:prstGeom>
                    <a:ln>
                      <a:noFill/>
                    </a:ln>
                    <a:extLst>
                      <a:ext uri="{53640926-AAD7-44D8-BBD7-CCE9431645EC}">
                        <a14:shadowObscured xmlns:a14="http://schemas.microsoft.com/office/drawing/2010/main"/>
                      </a:ext>
                    </a:extLst>
                  </pic:spPr>
                </pic:pic>
              </a:graphicData>
            </a:graphic>
          </wp:inline>
        </w:drawing>
      </w:r>
    </w:p>
    <w:p w:rsidR="002B0C26" w:rsidRDefault="00D36A40" w:rsidP="00277CD0">
      <w:pPr>
        <w:rPr>
          <w:rFonts w:ascii="Garamond" w:hAnsi="Garamond"/>
          <w:sz w:val="24"/>
          <w:szCs w:val="24"/>
        </w:rPr>
      </w:pPr>
      <w:r>
        <w:rPr>
          <w:noProof/>
        </w:rPr>
        <w:lastRenderedPageBreak/>
        <w:drawing>
          <wp:inline distT="0" distB="0" distL="0" distR="0" wp14:anchorId="5F4FDB09" wp14:editId="409F8287">
            <wp:extent cx="5799149" cy="26956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0099" t="17465" r="-1321" b="23010"/>
                    <a:stretch/>
                  </pic:blipFill>
                  <pic:spPr bwMode="auto">
                    <a:xfrm>
                      <a:off x="0" y="0"/>
                      <a:ext cx="5807407" cy="2699538"/>
                    </a:xfrm>
                    <a:prstGeom prst="rect">
                      <a:avLst/>
                    </a:prstGeom>
                    <a:ln>
                      <a:noFill/>
                    </a:ln>
                    <a:extLst>
                      <a:ext uri="{53640926-AAD7-44D8-BBD7-CCE9431645EC}">
                        <a14:shadowObscured xmlns:a14="http://schemas.microsoft.com/office/drawing/2010/main"/>
                      </a:ext>
                    </a:extLst>
                  </pic:spPr>
                </pic:pic>
              </a:graphicData>
            </a:graphic>
          </wp:inline>
        </w:drawing>
      </w:r>
    </w:p>
    <w:p w:rsidR="00D36A40" w:rsidRDefault="00D36A40" w:rsidP="00277CD0">
      <w:pPr>
        <w:rPr>
          <w:rFonts w:ascii="Garamond" w:hAnsi="Garamond"/>
          <w:sz w:val="24"/>
          <w:szCs w:val="24"/>
        </w:rPr>
      </w:pPr>
    </w:p>
    <w:p w:rsidR="002B0C26" w:rsidRDefault="002B0C26" w:rsidP="002B0C26">
      <w:pPr>
        <w:jc w:val="center"/>
        <w:rPr>
          <w:rFonts w:ascii="Garamond" w:hAnsi="Garamond"/>
          <w:sz w:val="32"/>
          <w:szCs w:val="32"/>
          <w:u w:val="single"/>
        </w:rPr>
      </w:pPr>
      <w:r w:rsidRPr="002B0C26">
        <w:rPr>
          <w:rFonts w:ascii="Garamond" w:hAnsi="Garamond"/>
          <w:sz w:val="32"/>
          <w:szCs w:val="32"/>
          <w:u w:val="single"/>
        </w:rPr>
        <w:t xml:space="preserve">What’s Next &amp; Key </w:t>
      </w:r>
      <w:proofErr w:type="gramStart"/>
      <w:r w:rsidRPr="002B0C26">
        <w:rPr>
          <w:rFonts w:ascii="Garamond" w:hAnsi="Garamond"/>
          <w:sz w:val="32"/>
          <w:szCs w:val="32"/>
          <w:u w:val="single"/>
        </w:rPr>
        <w:t>Earnings</w:t>
      </w:r>
      <w:proofErr w:type="gramEnd"/>
    </w:p>
    <w:p w:rsidR="002B0C26" w:rsidRDefault="00BE6A15" w:rsidP="002B0C26">
      <w:pPr>
        <w:rPr>
          <w:rFonts w:ascii="Garamond" w:hAnsi="Garamond"/>
          <w:sz w:val="24"/>
          <w:szCs w:val="24"/>
        </w:rPr>
      </w:pPr>
      <w:r>
        <w:rPr>
          <w:rFonts w:ascii="Garamond" w:hAnsi="Garamond"/>
          <w:sz w:val="24"/>
          <w:szCs w:val="24"/>
        </w:rPr>
        <w:t>On Tuesday, April 28</w:t>
      </w:r>
      <w:r w:rsidRPr="00BE6A15">
        <w:rPr>
          <w:rFonts w:ascii="Garamond" w:hAnsi="Garamond"/>
          <w:sz w:val="24"/>
          <w:szCs w:val="24"/>
          <w:vertAlign w:val="superscript"/>
        </w:rPr>
        <w:t>th</w:t>
      </w:r>
      <w:r>
        <w:rPr>
          <w:rFonts w:ascii="Garamond" w:hAnsi="Garamond"/>
          <w:sz w:val="24"/>
          <w:szCs w:val="24"/>
        </w:rPr>
        <w:t xml:space="preserve">, the U.S. Conference Board Consumer Confidence measure will be released. </w:t>
      </w:r>
      <w:r w:rsidRPr="00BE6A15">
        <w:rPr>
          <w:rFonts w:ascii="Garamond" w:hAnsi="Garamond"/>
          <w:sz w:val="24"/>
          <w:szCs w:val="24"/>
        </w:rPr>
        <w:t>Conference Board (CB) Consumer Confidence measures the level of consumer confidence in economic activity. It is a leading indicator as it can predict consumer spending, which plays a major role in overall economic activity. Higher readings point to higher consumer optimism.</w:t>
      </w:r>
    </w:p>
    <w:p w:rsidR="00BE6A15" w:rsidRDefault="00BE6A15" w:rsidP="002B0C26">
      <w:pPr>
        <w:rPr>
          <w:rFonts w:ascii="Garamond" w:hAnsi="Garamond"/>
          <w:sz w:val="24"/>
          <w:szCs w:val="24"/>
        </w:rPr>
      </w:pPr>
      <w:r>
        <w:rPr>
          <w:rFonts w:ascii="Garamond" w:hAnsi="Garamond"/>
          <w:sz w:val="24"/>
          <w:szCs w:val="24"/>
        </w:rPr>
        <w:t>On Wednesday, April 29</w:t>
      </w:r>
      <w:r w:rsidRPr="00BE6A15">
        <w:rPr>
          <w:rFonts w:ascii="Garamond" w:hAnsi="Garamond"/>
          <w:sz w:val="24"/>
          <w:szCs w:val="24"/>
          <w:vertAlign w:val="superscript"/>
        </w:rPr>
        <w:t>th</w:t>
      </w:r>
      <w:r>
        <w:rPr>
          <w:rFonts w:ascii="Garamond" w:hAnsi="Garamond"/>
          <w:sz w:val="24"/>
          <w:szCs w:val="24"/>
        </w:rPr>
        <w:t xml:space="preserve">, there will be a FOMC Statement. </w:t>
      </w:r>
      <w:r w:rsidRPr="00BE6A15">
        <w:rPr>
          <w:rFonts w:ascii="Garamond" w:hAnsi="Garamond"/>
          <w:sz w:val="24"/>
          <w:szCs w:val="24"/>
        </w:rPr>
        <w:t>The U.S. Federal Reserve's Federal Open Market Committee (FOMC) statement is the primary tool the panel uses to communicate with investors about monetary policy. It contains the outcome of the vote on interest rates, discusses the economic outlook and offers clues on the outcome of future votes.</w:t>
      </w:r>
      <w:r>
        <w:rPr>
          <w:rFonts w:ascii="Garamond" w:hAnsi="Garamond"/>
          <w:sz w:val="24"/>
          <w:szCs w:val="24"/>
        </w:rPr>
        <w:t xml:space="preserve"> The Fed will also vote on where to set the Fed Funds Target Rate.</w:t>
      </w:r>
    </w:p>
    <w:p w:rsidR="00BE6A15" w:rsidRDefault="00BE6A15" w:rsidP="002B0C26">
      <w:pPr>
        <w:rPr>
          <w:rFonts w:ascii="Garamond" w:hAnsi="Garamond"/>
          <w:sz w:val="24"/>
          <w:szCs w:val="24"/>
        </w:rPr>
      </w:pPr>
      <w:r>
        <w:rPr>
          <w:rFonts w:ascii="Garamond" w:hAnsi="Garamond"/>
          <w:sz w:val="24"/>
          <w:szCs w:val="24"/>
        </w:rPr>
        <w:t>On Wednesday, April 29</w:t>
      </w:r>
      <w:r w:rsidRPr="00BE6A15">
        <w:rPr>
          <w:rFonts w:ascii="Garamond" w:hAnsi="Garamond"/>
          <w:sz w:val="24"/>
          <w:szCs w:val="24"/>
          <w:vertAlign w:val="superscript"/>
        </w:rPr>
        <w:t>th</w:t>
      </w:r>
      <w:r>
        <w:rPr>
          <w:rFonts w:ascii="Garamond" w:hAnsi="Garamond"/>
          <w:sz w:val="24"/>
          <w:szCs w:val="24"/>
        </w:rPr>
        <w:t xml:space="preserve">, the Gross Domestic Product for Quarter 1, 2015 will be released. </w:t>
      </w:r>
      <w:r w:rsidRPr="00BE6A15">
        <w:rPr>
          <w:rFonts w:ascii="Garamond" w:hAnsi="Garamond"/>
          <w:sz w:val="24"/>
          <w:szCs w:val="24"/>
        </w:rPr>
        <w:t>Gross Domestic Product (GDP) measures the annualized change in the inflation-adjusted value of all goods and services produced by the economy. It is the broadest measure of economic activity and the primary indicator of the economy's health.</w:t>
      </w:r>
      <w:r>
        <w:rPr>
          <w:rFonts w:ascii="Garamond" w:hAnsi="Garamond"/>
          <w:sz w:val="24"/>
          <w:szCs w:val="24"/>
        </w:rPr>
        <w:t xml:space="preserve"> This will come as a result of the Federal Reserve’s monetary policy meetings.</w:t>
      </w:r>
    </w:p>
    <w:p w:rsidR="00BE6A15" w:rsidRDefault="00AE41E5" w:rsidP="002B0C26">
      <w:pPr>
        <w:rPr>
          <w:rFonts w:ascii="Garamond" w:hAnsi="Garamond"/>
          <w:sz w:val="24"/>
          <w:szCs w:val="24"/>
        </w:rPr>
      </w:pPr>
      <w:r>
        <w:rPr>
          <w:noProof/>
        </w:rPr>
        <w:lastRenderedPageBreak/>
        <w:drawing>
          <wp:inline distT="0" distB="0" distL="0" distR="0" wp14:anchorId="52E82169" wp14:editId="41F79229">
            <wp:extent cx="5943600" cy="40925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092575"/>
                    </a:xfrm>
                    <a:prstGeom prst="rect">
                      <a:avLst/>
                    </a:prstGeom>
                  </pic:spPr>
                </pic:pic>
              </a:graphicData>
            </a:graphic>
          </wp:inline>
        </w:drawing>
      </w:r>
    </w:p>
    <w:p w:rsidR="00AE41E5" w:rsidRDefault="00AE41E5" w:rsidP="002B0C26">
      <w:pPr>
        <w:rPr>
          <w:rFonts w:ascii="Garamond" w:hAnsi="Garamond"/>
          <w:sz w:val="24"/>
          <w:szCs w:val="24"/>
        </w:rPr>
      </w:pPr>
      <w:r>
        <w:rPr>
          <w:noProof/>
        </w:rPr>
        <w:lastRenderedPageBreak/>
        <w:drawing>
          <wp:inline distT="0" distB="0" distL="0" distR="0" wp14:anchorId="7B3A9FEE" wp14:editId="5FC3FBF6">
            <wp:extent cx="5943600" cy="5311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311140"/>
                    </a:xfrm>
                    <a:prstGeom prst="rect">
                      <a:avLst/>
                    </a:prstGeom>
                  </pic:spPr>
                </pic:pic>
              </a:graphicData>
            </a:graphic>
          </wp:inline>
        </w:drawing>
      </w:r>
    </w:p>
    <w:p w:rsidR="00830506" w:rsidRDefault="00830506" w:rsidP="002B0C26">
      <w:pPr>
        <w:rPr>
          <w:rFonts w:ascii="Garamond" w:hAnsi="Garamond"/>
          <w:sz w:val="24"/>
          <w:szCs w:val="24"/>
        </w:rPr>
      </w:pPr>
      <w:r>
        <w:rPr>
          <w:noProof/>
        </w:rPr>
        <w:lastRenderedPageBreak/>
        <w:drawing>
          <wp:inline distT="0" distB="0" distL="0" distR="0" wp14:anchorId="08AB0594" wp14:editId="39311F23">
            <wp:extent cx="5943600" cy="5598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598160"/>
                    </a:xfrm>
                    <a:prstGeom prst="rect">
                      <a:avLst/>
                    </a:prstGeom>
                  </pic:spPr>
                </pic:pic>
              </a:graphicData>
            </a:graphic>
          </wp:inline>
        </w:drawing>
      </w:r>
    </w:p>
    <w:p w:rsidR="00830506" w:rsidRDefault="00830506" w:rsidP="002B0C26">
      <w:pPr>
        <w:rPr>
          <w:rFonts w:ascii="Garamond" w:hAnsi="Garamond"/>
          <w:sz w:val="24"/>
          <w:szCs w:val="24"/>
        </w:rPr>
      </w:pPr>
      <w:r>
        <w:rPr>
          <w:noProof/>
        </w:rPr>
        <w:lastRenderedPageBreak/>
        <w:drawing>
          <wp:inline distT="0" distB="0" distL="0" distR="0" wp14:anchorId="18439C32" wp14:editId="330DAD8F">
            <wp:extent cx="5943600" cy="5614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614670"/>
                    </a:xfrm>
                    <a:prstGeom prst="rect">
                      <a:avLst/>
                    </a:prstGeom>
                  </pic:spPr>
                </pic:pic>
              </a:graphicData>
            </a:graphic>
          </wp:inline>
        </w:drawing>
      </w:r>
    </w:p>
    <w:p w:rsidR="00830506" w:rsidRDefault="00830506" w:rsidP="002B0C26">
      <w:pPr>
        <w:rPr>
          <w:rFonts w:ascii="Garamond" w:hAnsi="Garamond"/>
          <w:sz w:val="24"/>
          <w:szCs w:val="24"/>
        </w:rPr>
      </w:pPr>
      <w:r>
        <w:rPr>
          <w:noProof/>
        </w:rPr>
        <w:lastRenderedPageBreak/>
        <w:drawing>
          <wp:inline distT="0" distB="0" distL="0" distR="0" wp14:anchorId="71949658" wp14:editId="1FCE4ECA">
            <wp:extent cx="5943600" cy="5589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589905"/>
                    </a:xfrm>
                    <a:prstGeom prst="rect">
                      <a:avLst/>
                    </a:prstGeom>
                  </pic:spPr>
                </pic:pic>
              </a:graphicData>
            </a:graphic>
          </wp:inline>
        </w:drawing>
      </w:r>
    </w:p>
    <w:p w:rsidR="00830506" w:rsidRDefault="00830506" w:rsidP="002B0C26">
      <w:pPr>
        <w:rPr>
          <w:rFonts w:ascii="Garamond" w:hAnsi="Garamond"/>
          <w:sz w:val="24"/>
          <w:szCs w:val="24"/>
        </w:rPr>
      </w:pPr>
      <w:r>
        <w:rPr>
          <w:noProof/>
        </w:rPr>
        <w:lastRenderedPageBreak/>
        <w:drawing>
          <wp:inline distT="0" distB="0" distL="0" distR="0" wp14:anchorId="45D53FE3" wp14:editId="373245EB">
            <wp:extent cx="5943600" cy="554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543550"/>
                    </a:xfrm>
                    <a:prstGeom prst="rect">
                      <a:avLst/>
                    </a:prstGeom>
                  </pic:spPr>
                </pic:pic>
              </a:graphicData>
            </a:graphic>
          </wp:inline>
        </w:drawing>
      </w:r>
    </w:p>
    <w:p w:rsidR="00830506" w:rsidRDefault="00830506" w:rsidP="002B0C26">
      <w:pPr>
        <w:rPr>
          <w:rFonts w:ascii="Garamond" w:hAnsi="Garamond"/>
          <w:sz w:val="24"/>
          <w:szCs w:val="24"/>
        </w:rPr>
      </w:pPr>
      <w:r>
        <w:rPr>
          <w:noProof/>
        </w:rPr>
        <w:lastRenderedPageBreak/>
        <w:drawing>
          <wp:inline distT="0" distB="0" distL="0" distR="0" wp14:anchorId="0786E612" wp14:editId="6F224B41">
            <wp:extent cx="5943600" cy="5636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636260"/>
                    </a:xfrm>
                    <a:prstGeom prst="rect">
                      <a:avLst/>
                    </a:prstGeom>
                  </pic:spPr>
                </pic:pic>
              </a:graphicData>
            </a:graphic>
          </wp:inline>
        </w:drawing>
      </w:r>
    </w:p>
    <w:p w:rsidR="00FE2411" w:rsidRDefault="00FE2411" w:rsidP="002B0C26">
      <w:pPr>
        <w:rPr>
          <w:rFonts w:ascii="Garamond" w:hAnsi="Garamond"/>
          <w:sz w:val="24"/>
          <w:szCs w:val="24"/>
        </w:rPr>
      </w:pPr>
      <w:r>
        <w:rPr>
          <w:noProof/>
        </w:rPr>
        <w:lastRenderedPageBreak/>
        <w:drawing>
          <wp:inline distT="0" distB="0" distL="0" distR="0" wp14:anchorId="01723C18" wp14:editId="29639D92">
            <wp:extent cx="5943600" cy="55600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560060"/>
                    </a:xfrm>
                    <a:prstGeom prst="rect">
                      <a:avLst/>
                    </a:prstGeom>
                  </pic:spPr>
                </pic:pic>
              </a:graphicData>
            </a:graphic>
          </wp:inline>
        </w:drawing>
      </w:r>
    </w:p>
    <w:p w:rsidR="002B05BA" w:rsidRPr="002B0C26" w:rsidRDefault="002B05BA" w:rsidP="002B0C26">
      <w:pPr>
        <w:rPr>
          <w:rFonts w:ascii="Garamond" w:hAnsi="Garamond"/>
          <w:sz w:val="24"/>
          <w:szCs w:val="24"/>
        </w:rPr>
      </w:pPr>
      <w:r>
        <w:rPr>
          <w:noProof/>
        </w:rPr>
        <w:lastRenderedPageBreak/>
        <w:drawing>
          <wp:inline distT="0" distB="0" distL="0" distR="0" wp14:anchorId="4FA4C2BD" wp14:editId="01318742">
            <wp:extent cx="5943600" cy="4599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99940"/>
                    </a:xfrm>
                    <a:prstGeom prst="rect">
                      <a:avLst/>
                    </a:prstGeom>
                  </pic:spPr>
                </pic:pic>
              </a:graphicData>
            </a:graphic>
          </wp:inline>
        </w:drawing>
      </w:r>
    </w:p>
    <w:sectPr w:rsidR="002B05BA" w:rsidRPr="002B0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CD0"/>
    <w:rsid w:val="00000359"/>
    <w:rsid w:val="00004ECA"/>
    <w:rsid w:val="00030BDC"/>
    <w:rsid w:val="0003627F"/>
    <w:rsid w:val="0004496E"/>
    <w:rsid w:val="000534DB"/>
    <w:rsid w:val="00087CDB"/>
    <w:rsid w:val="00096333"/>
    <w:rsid w:val="000B3EEE"/>
    <w:rsid w:val="000E4BB1"/>
    <w:rsid w:val="001208C4"/>
    <w:rsid w:val="0013557B"/>
    <w:rsid w:val="001578AB"/>
    <w:rsid w:val="00157AC6"/>
    <w:rsid w:val="001610EA"/>
    <w:rsid w:val="001703E7"/>
    <w:rsid w:val="001747F5"/>
    <w:rsid w:val="00174CF0"/>
    <w:rsid w:val="001834A5"/>
    <w:rsid w:val="00187004"/>
    <w:rsid w:val="00192BF0"/>
    <w:rsid w:val="001A4C48"/>
    <w:rsid w:val="001A627E"/>
    <w:rsid w:val="001C72EA"/>
    <w:rsid w:val="001D642A"/>
    <w:rsid w:val="002268A9"/>
    <w:rsid w:val="0024258D"/>
    <w:rsid w:val="002460AC"/>
    <w:rsid w:val="00276C24"/>
    <w:rsid w:val="00277CD0"/>
    <w:rsid w:val="002B05BA"/>
    <w:rsid w:val="002B0C26"/>
    <w:rsid w:val="002C1D3D"/>
    <w:rsid w:val="002F22D1"/>
    <w:rsid w:val="003038A1"/>
    <w:rsid w:val="003442CB"/>
    <w:rsid w:val="00345B7B"/>
    <w:rsid w:val="00353009"/>
    <w:rsid w:val="003744EE"/>
    <w:rsid w:val="003753FC"/>
    <w:rsid w:val="0039005B"/>
    <w:rsid w:val="00392236"/>
    <w:rsid w:val="00394846"/>
    <w:rsid w:val="003A20EB"/>
    <w:rsid w:val="003B2B03"/>
    <w:rsid w:val="003B3E4B"/>
    <w:rsid w:val="003C2BD0"/>
    <w:rsid w:val="003C3AF3"/>
    <w:rsid w:val="003D1D2A"/>
    <w:rsid w:val="003D4659"/>
    <w:rsid w:val="003E7EDE"/>
    <w:rsid w:val="003F4FC5"/>
    <w:rsid w:val="003F78F2"/>
    <w:rsid w:val="004215BE"/>
    <w:rsid w:val="00425F27"/>
    <w:rsid w:val="00455445"/>
    <w:rsid w:val="004560B8"/>
    <w:rsid w:val="004706C2"/>
    <w:rsid w:val="00470E45"/>
    <w:rsid w:val="004725BB"/>
    <w:rsid w:val="0049432C"/>
    <w:rsid w:val="00496F51"/>
    <w:rsid w:val="004A050A"/>
    <w:rsid w:val="004A4C47"/>
    <w:rsid w:val="004A7913"/>
    <w:rsid w:val="004E4E01"/>
    <w:rsid w:val="004F0DE3"/>
    <w:rsid w:val="004F521E"/>
    <w:rsid w:val="00522A8A"/>
    <w:rsid w:val="005336FD"/>
    <w:rsid w:val="00536965"/>
    <w:rsid w:val="00563F42"/>
    <w:rsid w:val="0057294F"/>
    <w:rsid w:val="005B1DE7"/>
    <w:rsid w:val="005B7200"/>
    <w:rsid w:val="005F5F6A"/>
    <w:rsid w:val="0060738E"/>
    <w:rsid w:val="00607BAC"/>
    <w:rsid w:val="00641E87"/>
    <w:rsid w:val="00643153"/>
    <w:rsid w:val="00653D9C"/>
    <w:rsid w:val="00660101"/>
    <w:rsid w:val="00665154"/>
    <w:rsid w:val="006A158D"/>
    <w:rsid w:val="006A6025"/>
    <w:rsid w:val="006C6809"/>
    <w:rsid w:val="006E6FB6"/>
    <w:rsid w:val="006F7A3F"/>
    <w:rsid w:val="007060CA"/>
    <w:rsid w:val="007257BC"/>
    <w:rsid w:val="0073000C"/>
    <w:rsid w:val="007334A7"/>
    <w:rsid w:val="00741096"/>
    <w:rsid w:val="00744DE3"/>
    <w:rsid w:val="00750500"/>
    <w:rsid w:val="007530F9"/>
    <w:rsid w:val="0075412D"/>
    <w:rsid w:val="00754152"/>
    <w:rsid w:val="00760604"/>
    <w:rsid w:val="007649E2"/>
    <w:rsid w:val="00780AD9"/>
    <w:rsid w:val="00780C8D"/>
    <w:rsid w:val="00786834"/>
    <w:rsid w:val="007944CB"/>
    <w:rsid w:val="007C4B3B"/>
    <w:rsid w:val="007E4E02"/>
    <w:rsid w:val="008022A4"/>
    <w:rsid w:val="00802358"/>
    <w:rsid w:val="00806B22"/>
    <w:rsid w:val="00825959"/>
    <w:rsid w:val="00830506"/>
    <w:rsid w:val="00831726"/>
    <w:rsid w:val="008325EC"/>
    <w:rsid w:val="00851C79"/>
    <w:rsid w:val="00863570"/>
    <w:rsid w:val="0089158B"/>
    <w:rsid w:val="0089626E"/>
    <w:rsid w:val="008A2D58"/>
    <w:rsid w:val="008B19DA"/>
    <w:rsid w:val="008B392B"/>
    <w:rsid w:val="008C3398"/>
    <w:rsid w:val="008C764B"/>
    <w:rsid w:val="008D1EA5"/>
    <w:rsid w:val="008D40A5"/>
    <w:rsid w:val="008D6C56"/>
    <w:rsid w:val="008E55AB"/>
    <w:rsid w:val="008F54D9"/>
    <w:rsid w:val="00922680"/>
    <w:rsid w:val="009334D0"/>
    <w:rsid w:val="00933A85"/>
    <w:rsid w:val="0094439C"/>
    <w:rsid w:val="009659C9"/>
    <w:rsid w:val="00985EB5"/>
    <w:rsid w:val="009A75D8"/>
    <w:rsid w:val="009D7DFD"/>
    <w:rsid w:val="009E3DC1"/>
    <w:rsid w:val="009F03B6"/>
    <w:rsid w:val="009F0DAB"/>
    <w:rsid w:val="00A05966"/>
    <w:rsid w:val="00A05C51"/>
    <w:rsid w:val="00A175B3"/>
    <w:rsid w:val="00A271FF"/>
    <w:rsid w:val="00A510F0"/>
    <w:rsid w:val="00A668B6"/>
    <w:rsid w:val="00A7356B"/>
    <w:rsid w:val="00A75441"/>
    <w:rsid w:val="00A91C30"/>
    <w:rsid w:val="00AD600C"/>
    <w:rsid w:val="00AD6BBC"/>
    <w:rsid w:val="00AD704B"/>
    <w:rsid w:val="00AE1137"/>
    <w:rsid w:val="00AE1D07"/>
    <w:rsid w:val="00AE41E5"/>
    <w:rsid w:val="00B0698E"/>
    <w:rsid w:val="00B20616"/>
    <w:rsid w:val="00B43739"/>
    <w:rsid w:val="00B47B26"/>
    <w:rsid w:val="00B60C48"/>
    <w:rsid w:val="00B64BD0"/>
    <w:rsid w:val="00B954C4"/>
    <w:rsid w:val="00BA1978"/>
    <w:rsid w:val="00BB24C2"/>
    <w:rsid w:val="00BC642F"/>
    <w:rsid w:val="00BD193E"/>
    <w:rsid w:val="00BD407C"/>
    <w:rsid w:val="00BD6C20"/>
    <w:rsid w:val="00BE385A"/>
    <w:rsid w:val="00BE6A15"/>
    <w:rsid w:val="00BF0A31"/>
    <w:rsid w:val="00BF6D80"/>
    <w:rsid w:val="00C05192"/>
    <w:rsid w:val="00C07E1C"/>
    <w:rsid w:val="00C12298"/>
    <w:rsid w:val="00C21321"/>
    <w:rsid w:val="00C263E7"/>
    <w:rsid w:val="00C35A45"/>
    <w:rsid w:val="00C618EE"/>
    <w:rsid w:val="00C62980"/>
    <w:rsid w:val="00C95245"/>
    <w:rsid w:val="00CC6F0C"/>
    <w:rsid w:val="00CD0398"/>
    <w:rsid w:val="00CE136E"/>
    <w:rsid w:val="00D0469B"/>
    <w:rsid w:val="00D1509B"/>
    <w:rsid w:val="00D26525"/>
    <w:rsid w:val="00D31AFF"/>
    <w:rsid w:val="00D33840"/>
    <w:rsid w:val="00D36A40"/>
    <w:rsid w:val="00D70FD5"/>
    <w:rsid w:val="00D7376A"/>
    <w:rsid w:val="00D91A30"/>
    <w:rsid w:val="00DB067E"/>
    <w:rsid w:val="00DB1178"/>
    <w:rsid w:val="00DC36E7"/>
    <w:rsid w:val="00DD452B"/>
    <w:rsid w:val="00DF2C3E"/>
    <w:rsid w:val="00DF52F4"/>
    <w:rsid w:val="00E0005E"/>
    <w:rsid w:val="00E057FC"/>
    <w:rsid w:val="00E14BB2"/>
    <w:rsid w:val="00E414C2"/>
    <w:rsid w:val="00E46FA5"/>
    <w:rsid w:val="00E70CF3"/>
    <w:rsid w:val="00EB761D"/>
    <w:rsid w:val="00EC022F"/>
    <w:rsid w:val="00ED12A0"/>
    <w:rsid w:val="00EF34F7"/>
    <w:rsid w:val="00F0576A"/>
    <w:rsid w:val="00F249F4"/>
    <w:rsid w:val="00F24BFA"/>
    <w:rsid w:val="00F33B78"/>
    <w:rsid w:val="00F42E3C"/>
    <w:rsid w:val="00F452A2"/>
    <w:rsid w:val="00F73097"/>
    <w:rsid w:val="00F7370B"/>
    <w:rsid w:val="00F95E8B"/>
    <w:rsid w:val="00FA5D02"/>
    <w:rsid w:val="00FA6259"/>
    <w:rsid w:val="00FA74B5"/>
    <w:rsid w:val="00FB5585"/>
    <w:rsid w:val="00FB7CA9"/>
    <w:rsid w:val="00FC2874"/>
    <w:rsid w:val="00FC68A5"/>
    <w:rsid w:val="00FE2411"/>
    <w:rsid w:val="00FE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1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1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dc:creator>
  <cp:lastModifiedBy>Tyler</cp:lastModifiedBy>
  <cp:revision>2</cp:revision>
  <dcterms:created xsi:type="dcterms:W3CDTF">2015-04-27T20:47:00Z</dcterms:created>
  <dcterms:modified xsi:type="dcterms:W3CDTF">2015-04-27T20:47:00Z</dcterms:modified>
</cp:coreProperties>
</file>