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F1" w:rsidRDefault="00044D62">
      <w:pPr>
        <w:pStyle w:val="normal0"/>
        <w:rPr>
          <w:rFonts w:ascii="Garamond" w:eastAsia="Garamond" w:hAnsi="Garamond" w:cs="Garamond"/>
          <w:b/>
          <w:color w:val="0A6345"/>
          <w:sz w:val="32"/>
          <w:szCs w:val="32"/>
        </w:rPr>
      </w:pPr>
      <w:bookmarkStart w:id="0" w:name="_gjdgxs" w:colFirst="0" w:colLast="0"/>
      <w:bookmarkEnd w:id="0"/>
      <w:r>
        <w:rPr>
          <w:rFonts w:ascii="Garamond" w:eastAsia="Garamond" w:hAnsi="Garamond" w:cs="Garamond"/>
          <w:b/>
          <w:color w:val="0A6345"/>
          <w:sz w:val="32"/>
          <w:szCs w:val="32"/>
        </w:rPr>
        <w:t xml:space="preserve">Bond Report </w:t>
      </w:r>
      <w:r w:rsidR="003064F1">
        <w:pict>
          <v:rect id="_x0000_i1025" style="width:0;height:1.5pt" o:hralign="center" o:hrstd="t" o:hr="t" fillcolor="#a0a0a0" stroked="f"/>
        </w:pict>
      </w:r>
    </w:p>
    <w:p w:rsidR="003064F1" w:rsidRDefault="00044D62">
      <w:pPr>
        <w:pStyle w:val="normal0"/>
      </w:pPr>
      <w:r>
        <w:tab/>
      </w:r>
    </w:p>
    <w:p w:rsidR="003064F1" w:rsidRDefault="00044D62">
      <w:pPr>
        <w:pStyle w:val="normal0"/>
        <w:ind w:firstLine="720"/>
      </w:pPr>
      <w:r>
        <w:t>The bond market yield volatility continues as it has the passed couple of weeks. The imposed Trump tariffs on steel and aluminum are one of the main drivers of this volatility. Overall, the tariffs are causing an increase in yields. In addition to the tari</w:t>
      </w:r>
      <w:r>
        <w:t>ff uncertainty, treasury yields are up due to strong job growth which is keeping the Fed on track. Yields are still expected to rise in the coming weeks as planned by the Fed. The Fed believes that meeting an inflation rate of 2% will not be an issue. Yiel</w:t>
      </w:r>
      <w:r>
        <w:t>ds ended with 2 year note at 2.262%, 10 year note at 2.896%, and 30 year bond at 3.161%.</w:t>
      </w:r>
    </w:p>
    <w:p w:rsidR="003064F1" w:rsidRDefault="003064F1">
      <w:pPr>
        <w:pStyle w:val="normal0"/>
      </w:pPr>
    </w:p>
    <w:p w:rsidR="003064F1" w:rsidRDefault="003064F1">
      <w:pPr>
        <w:pStyle w:val="normal0"/>
      </w:pPr>
    </w:p>
    <w:p w:rsidR="003064F1" w:rsidRDefault="003064F1">
      <w:pPr>
        <w:pStyle w:val="normal0"/>
      </w:pPr>
    </w:p>
    <w:p w:rsidR="003064F1" w:rsidRDefault="003064F1">
      <w:pPr>
        <w:pStyle w:val="normal0"/>
      </w:pPr>
    </w:p>
    <w:p w:rsidR="003064F1" w:rsidRDefault="003064F1">
      <w:pPr>
        <w:pStyle w:val="normal0"/>
      </w:pPr>
    </w:p>
    <w:p w:rsidR="003064F1" w:rsidRDefault="003064F1">
      <w:pPr>
        <w:pStyle w:val="normal0"/>
      </w:pPr>
    </w:p>
    <w:p w:rsidR="003064F1" w:rsidRDefault="003064F1">
      <w:pPr>
        <w:pStyle w:val="normal0"/>
        <w:rPr>
          <w:rFonts w:ascii="Garamond" w:eastAsia="Garamond" w:hAnsi="Garamond" w:cs="Garamond"/>
        </w:rPr>
      </w:pPr>
    </w:p>
    <w:p w:rsidR="003064F1" w:rsidRDefault="00044D62">
      <w:pPr>
        <w:pStyle w:val="normal0"/>
        <w:rPr>
          <w:rFonts w:ascii="Garamond" w:eastAsia="Garamond" w:hAnsi="Garamond" w:cs="Garamond"/>
        </w:rPr>
      </w:pPr>
      <w:r>
        <w:rPr>
          <w:rFonts w:ascii="Garamond" w:eastAsia="Garamond" w:hAnsi="Garamond" w:cs="Garamond"/>
          <w:noProof/>
          <w:sz w:val="20"/>
          <w:szCs w:val="20"/>
        </w:rPr>
        <w:drawing>
          <wp:inline distT="114300" distB="114300" distL="114300" distR="114300">
            <wp:extent cx="5943600" cy="3479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479800"/>
                    </a:xfrm>
                    <a:prstGeom prst="rect">
                      <a:avLst/>
                    </a:prstGeom>
                    <a:ln/>
                  </pic:spPr>
                </pic:pic>
              </a:graphicData>
            </a:graphic>
          </wp:inline>
        </w:drawing>
      </w:r>
    </w:p>
    <w:p w:rsidR="003064F1" w:rsidRDefault="003064F1">
      <w:pPr>
        <w:pStyle w:val="normal0"/>
        <w:jc w:val="both"/>
        <w:rPr>
          <w:rFonts w:ascii="Garamond" w:eastAsia="Garamond" w:hAnsi="Garamond" w:cs="Garamond"/>
        </w:rPr>
      </w:pPr>
    </w:p>
    <w:p w:rsidR="003064F1" w:rsidRDefault="003064F1">
      <w:pPr>
        <w:pStyle w:val="normal0"/>
        <w:rPr>
          <w:rFonts w:ascii="Garamond" w:eastAsia="Garamond" w:hAnsi="Garamond" w:cs="Garamond"/>
          <w:sz w:val="20"/>
          <w:szCs w:val="20"/>
        </w:rPr>
      </w:pPr>
    </w:p>
    <w:p w:rsidR="003064F1" w:rsidRDefault="003064F1">
      <w:pPr>
        <w:pStyle w:val="normal0"/>
        <w:rPr>
          <w:rFonts w:ascii="Garamond" w:eastAsia="Garamond" w:hAnsi="Garamond" w:cs="Garamond"/>
          <w:sz w:val="20"/>
          <w:szCs w:val="20"/>
        </w:rPr>
      </w:pPr>
    </w:p>
    <w:p w:rsidR="003064F1" w:rsidRDefault="003064F1">
      <w:pPr>
        <w:pStyle w:val="normal0"/>
        <w:rPr>
          <w:rFonts w:ascii="Garamond" w:eastAsia="Garamond" w:hAnsi="Garamond" w:cs="Garamond"/>
          <w:b/>
        </w:rPr>
      </w:pPr>
    </w:p>
    <w:p w:rsidR="003064F1" w:rsidRDefault="00044D62">
      <w:pPr>
        <w:pStyle w:val="normal0"/>
        <w:rPr>
          <w:rFonts w:ascii="Garamond" w:eastAsia="Garamond" w:hAnsi="Garamond" w:cs="Garamond"/>
          <w:b/>
        </w:rPr>
      </w:pPr>
      <w:r>
        <w:rPr>
          <w:rFonts w:ascii="Garamond" w:eastAsia="Garamond" w:hAnsi="Garamond" w:cs="Garamond"/>
          <w:b/>
          <w:noProof/>
        </w:rPr>
        <w:lastRenderedPageBreak/>
        <w:drawing>
          <wp:inline distT="114300" distB="114300" distL="114300" distR="114300">
            <wp:extent cx="5943600" cy="4889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4889500"/>
                    </a:xfrm>
                    <a:prstGeom prst="rect">
                      <a:avLst/>
                    </a:prstGeom>
                    <a:ln/>
                  </pic:spPr>
                </pic:pic>
              </a:graphicData>
            </a:graphic>
          </wp:inline>
        </w:drawing>
      </w:r>
    </w:p>
    <w:p w:rsidR="003064F1" w:rsidRDefault="003064F1">
      <w:pPr>
        <w:pStyle w:val="normal0"/>
        <w:rPr>
          <w:rFonts w:ascii="Garamond" w:eastAsia="Garamond" w:hAnsi="Garamond" w:cs="Garamond"/>
          <w:b/>
        </w:rPr>
      </w:pPr>
    </w:p>
    <w:p w:rsidR="003064F1" w:rsidRDefault="00044D62">
      <w:pPr>
        <w:pStyle w:val="normal0"/>
        <w:rPr>
          <w:rFonts w:ascii="Garamond" w:eastAsia="Garamond" w:hAnsi="Garamond" w:cs="Garamond"/>
          <w:b/>
        </w:rPr>
      </w:pPr>
      <w:r>
        <w:rPr>
          <w:rFonts w:ascii="Garamond" w:eastAsia="Garamond" w:hAnsi="Garamond" w:cs="Garamond"/>
          <w:b/>
        </w:rPr>
        <w:t>What’s next and key events?</w:t>
      </w:r>
    </w:p>
    <w:p w:rsidR="003064F1" w:rsidRDefault="003064F1">
      <w:pPr>
        <w:pStyle w:val="normal0"/>
        <w:rPr>
          <w:rFonts w:ascii="Garamond" w:eastAsia="Garamond" w:hAnsi="Garamond" w:cs="Garamond"/>
          <w:sz w:val="20"/>
          <w:szCs w:val="20"/>
        </w:rPr>
      </w:pPr>
    </w:p>
    <w:p w:rsidR="003064F1" w:rsidRDefault="00044D62">
      <w:pPr>
        <w:pStyle w:val="normal0"/>
      </w:pPr>
      <w:r>
        <w:t>Keeping a close eye on the effects of the import tariff on steel and aluminum Trump imposed is going to be important for t</w:t>
      </w:r>
      <w:r>
        <w:t xml:space="preserve">he near future. </w:t>
      </w:r>
      <w:r>
        <w:rPr>
          <w:highlight w:val="white"/>
        </w:rPr>
        <w:t>It will also be important to track other macro factors such as unemployment. Investors continue to track the European Central Bank rates and their asset purchases as rates have remained constant in Europe.</w:t>
      </w:r>
    </w:p>
    <w:sectPr w:rsidR="003064F1" w:rsidSect="003064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62" w:rsidRDefault="00044D62" w:rsidP="003064F1">
      <w:r>
        <w:separator/>
      </w:r>
    </w:p>
  </w:endnote>
  <w:endnote w:type="continuationSeparator" w:id="0">
    <w:p w:rsidR="00044D62" w:rsidRDefault="00044D62" w:rsidP="00306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3064F1">
    <w:pPr>
      <w:pStyle w:val="normal0"/>
      <w:tabs>
        <w:tab w:val="center" w:pos="4680"/>
        <w:tab w:val="right" w:pos="9360"/>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3064F1">
    <w:pPr>
      <w:pStyle w:val="normal0"/>
      <w:tabs>
        <w:tab w:val="center" w:pos="4680"/>
        <w:tab w:val="right" w:pos="9360"/>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3064F1">
    <w:pPr>
      <w:pStyle w:val="normal0"/>
      <w:tabs>
        <w:tab w:val="center" w:pos="4680"/>
        <w:tab w:val="right" w:pos="9360"/>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62" w:rsidRDefault="00044D62" w:rsidP="003064F1">
      <w:r>
        <w:separator/>
      </w:r>
    </w:p>
  </w:footnote>
  <w:footnote w:type="continuationSeparator" w:id="0">
    <w:p w:rsidR="00044D62" w:rsidRDefault="00044D62" w:rsidP="00306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3064F1">
    <w:pPr>
      <w:pStyle w:val="normal0"/>
      <w:tabs>
        <w:tab w:val="center" w:pos="4680"/>
        <w:tab w:val="right" w:pos="9360"/>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3064F1">
    <w:pPr>
      <w:pStyle w:val="normal0"/>
      <w:tabs>
        <w:tab w:val="center" w:pos="4680"/>
        <w:tab w:val="right" w:pos="936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3064F1">
    <w:pPr>
      <w:pStyle w:val="normal0"/>
      <w:tabs>
        <w:tab w:val="center" w:pos="4680"/>
        <w:tab w:val="right" w:pos="9360"/>
      </w:tabs>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64F1"/>
    <w:rsid w:val="00044D62"/>
    <w:rsid w:val="002608A4"/>
    <w:rsid w:val="00306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64F1"/>
    <w:pPr>
      <w:keepNext/>
      <w:keepLines/>
      <w:spacing w:before="480" w:after="120"/>
      <w:outlineLvl w:val="0"/>
    </w:pPr>
    <w:rPr>
      <w:b/>
      <w:sz w:val="48"/>
      <w:szCs w:val="48"/>
    </w:rPr>
  </w:style>
  <w:style w:type="paragraph" w:styleId="Heading2">
    <w:name w:val="heading 2"/>
    <w:basedOn w:val="normal0"/>
    <w:next w:val="normal0"/>
    <w:rsid w:val="003064F1"/>
    <w:pPr>
      <w:keepNext/>
      <w:keepLines/>
      <w:spacing w:before="360" w:after="80"/>
      <w:outlineLvl w:val="1"/>
    </w:pPr>
    <w:rPr>
      <w:b/>
      <w:sz w:val="36"/>
      <w:szCs w:val="36"/>
    </w:rPr>
  </w:style>
  <w:style w:type="paragraph" w:styleId="Heading3">
    <w:name w:val="heading 3"/>
    <w:basedOn w:val="normal0"/>
    <w:next w:val="normal0"/>
    <w:rsid w:val="003064F1"/>
    <w:pPr>
      <w:keepNext/>
      <w:keepLines/>
      <w:spacing w:before="280" w:after="80"/>
      <w:outlineLvl w:val="2"/>
    </w:pPr>
    <w:rPr>
      <w:b/>
      <w:sz w:val="28"/>
      <w:szCs w:val="28"/>
    </w:rPr>
  </w:style>
  <w:style w:type="paragraph" w:styleId="Heading4">
    <w:name w:val="heading 4"/>
    <w:basedOn w:val="normal0"/>
    <w:next w:val="normal0"/>
    <w:rsid w:val="003064F1"/>
    <w:pPr>
      <w:keepNext/>
      <w:keepLines/>
      <w:spacing w:before="240" w:after="40"/>
      <w:outlineLvl w:val="3"/>
    </w:pPr>
    <w:rPr>
      <w:b/>
    </w:rPr>
  </w:style>
  <w:style w:type="paragraph" w:styleId="Heading5">
    <w:name w:val="heading 5"/>
    <w:basedOn w:val="normal0"/>
    <w:next w:val="normal0"/>
    <w:rsid w:val="003064F1"/>
    <w:pPr>
      <w:keepNext/>
      <w:keepLines/>
      <w:spacing w:before="220" w:after="40"/>
      <w:outlineLvl w:val="4"/>
    </w:pPr>
    <w:rPr>
      <w:b/>
      <w:sz w:val="22"/>
      <w:szCs w:val="22"/>
    </w:rPr>
  </w:style>
  <w:style w:type="paragraph" w:styleId="Heading6">
    <w:name w:val="heading 6"/>
    <w:basedOn w:val="normal0"/>
    <w:next w:val="normal0"/>
    <w:rsid w:val="003064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64F1"/>
  </w:style>
  <w:style w:type="paragraph" w:styleId="Title">
    <w:name w:val="Title"/>
    <w:basedOn w:val="normal0"/>
    <w:next w:val="normal0"/>
    <w:rsid w:val="003064F1"/>
    <w:pPr>
      <w:keepNext/>
      <w:keepLines/>
      <w:spacing w:before="480" w:after="120"/>
    </w:pPr>
    <w:rPr>
      <w:b/>
      <w:sz w:val="72"/>
      <w:szCs w:val="72"/>
    </w:rPr>
  </w:style>
  <w:style w:type="paragraph" w:styleId="Subtitle">
    <w:name w:val="Subtitle"/>
    <w:basedOn w:val="normal0"/>
    <w:next w:val="normal0"/>
    <w:rsid w:val="003064F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08A4"/>
    <w:rPr>
      <w:rFonts w:ascii="Tahoma" w:hAnsi="Tahoma" w:cs="Tahoma"/>
      <w:sz w:val="16"/>
      <w:szCs w:val="16"/>
    </w:rPr>
  </w:style>
  <w:style w:type="character" w:customStyle="1" w:styleId="BalloonTextChar">
    <w:name w:val="Balloon Text Char"/>
    <w:basedOn w:val="DefaultParagraphFont"/>
    <w:link w:val="BalloonText"/>
    <w:uiPriority w:val="99"/>
    <w:semiHidden/>
    <w:rsid w:val="00260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Galante</dc:creator>
  <cp:lastModifiedBy>Peter Galante</cp:lastModifiedBy>
  <cp:revision>2</cp:revision>
  <dcterms:created xsi:type="dcterms:W3CDTF">2018-03-11T21:16:00Z</dcterms:created>
  <dcterms:modified xsi:type="dcterms:W3CDTF">2018-03-11T21:16:00Z</dcterms:modified>
</cp:coreProperties>
</file>