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1F" w:rsidRDefault="00C90822">
      <w:pPr>
        <w:rPr>
          <w:rFonts w:ascii="Garamond" w:eastAsia="Garamond" w:hAnsi="Garamond" w:cs="Garamond"/>
          <w:b/>
          <w:color w:val="0A6345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Garamond" w:eastAsia="Garamond" w:hAnsi="Garamond" w:cs="Garamond"/>
          <w:b/>
          <w:color w:val="0A6345"/>
          <w:sz w:val="32"/>
          <w:szCs w:val="32"/>
        </w:rPr>
        <w:t xml:space="preserve">Bond Report </w:t>
      </w:r>
      <w:r>
        <w:pict>
          <v:rect id="_x0000_i1025" style="width:0;height:1.5pt" o:hralign="center" o:hrstd="t" o:hr="t" fillcolor="#a0a0a0" stroked="f"/>
        </w:pict>
      </w:r>
    </w:p>
    <w:p w:rsidR="00AB6E1F" w:rsidRDefault="00C90822">
      <w:r>
        <w:tab/>
      </w:r>
    </w:p>
    <w:p w:rsidR="00AB6E1F" w:rsidRDefault="00C90822">
      <w:pPr>
        <w:ind w:firstLine="720"/>
      </w:pPr>
      <w:r>
        <w:t>The bond market yields continue to fluctuate. They decreased this week due to bond investors rushing to complete their month-end trades. Yields increased on Friday because of Trump’s announcement about placing tariffs on steel and aluminum. Yields are stil</w:t>
      </w:r>
      <w:r>
        <w:t>l expected to rise overall in the coming weeks in order to combat creeping inflation. Professionals such as Paul Tudor Jones, expects 10 year yields to climb as high as 3.75%, which is over a 30 percent increase in total. Powell continues to convey optimis</w:t>
      </w:r>
      <w:r>
        <w:t>tic messages about the economy and growth prospects, he is confident that inflation will meet the 2% objective, he also signaled that there will be as many as four gradual rate hikes this year. Yields ended with 2 year note at 2.222%, 10 year note at 2.839</w:t>
      </w:r>
      <w:r>
        <w:t>%, and 30 year bond at 3.120%.</w:t>
      </w:r>
    </w:p>
    <w:p w:rsidR="00AB6E1F" w:rsidRDefault="00AB6E1F"/>
    <w:p w:rsidR="00AB6E1F" w:rsidRDefault="00AB6E1F"/>
    <w:p w:rsidR="00AB6E1F" w:rsidRDefault="00AB6E1F"/>
    <w:p w:rsidR="00AB6E1F" w:rsidRDefault="00AB6E1F"/>
    <w:p w:rsidR="00AB6E1F" w:rsidRDefault="00AB6E1F"/>
    <w:p w:rsidR="00AB6E1F" w:rsidRDefault="00AB6E1F"/>
    <w:p w:rsidR="00AB6E1F" w:rsidRDefault="00AB6E1F">
      <w:pPr>
        <w:rPr>
          <w:rFonts w:ascii="Garamond" w:eastAsia="Garamond" w:hAnsi="Garamond" w:cs="Garamond"/>
        </w:rPr>
      </w:pPr>
    </w:p>
    <w:p w:rsidR="00AB6E1F" w:rsidRDefault="00C9082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  <w:sz w:val="20"/>
          <w:szCs w:val="20"/>
        </w:rPr>
        <w:drawing>
          <wp:inline distT="114300" distB="114300" distL="114300" distR="114300">
            <wp:extent cx="5943600" cy="34798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6E1F" w:rsidRDefault="00AB6E1F">
      <w:pPr>
        <w:jc w:val="both"/>
        <w:rPr>
          <w:rFonts w:ascii="Garamond" w:eastAsia="Garamond" w:hAnsi="Garamond" w:cs="Garamond"/>
        </w:rPr>
      </w:pPr>
    </w:p>
    <w:p w:rsidR="00AB6E1F" w:rsidRDefault="00AB6E1F">
      <w:pPr>
        <w:rPr>
          <w:rFonts w:ascii="Garamond" w:eastAsia="Garamond" w:hAnsi="Garamond" w:cs="Garamond"/>
          <w:sz w:val="20"/>
          <w:szCs w:val="20"/>
        </w:rPr>
      </w:pPr>
    </w:p>
    <w:p w:rsidR="00AB6E1F" w:rsidRDefault="00AB6E1F">
      <w:pPr>
        <w:rPr>
          <w:rFonts w:ascii="Garamond" w:eastAsia="Garamond" w:hAnsi="Garamond" w:cs="Garamond"/>
          <w:sz w:val="20"/>
          <w:szCs w:val="20"/>
        </w:rPr>
      </w:pPr>
    </w:p>
    <w:p w:rsidR="00AB6E1F" w:rsidRDefault="00AB6E1F">
      <w:pPr>
        <w:rPr>
          <w:rFonts w:ascii="Garamond" w:eastAsia="Garamond" w:hAnsi="Garamond" w:cs="Garamond"/>
          <w:b/>
        </w:rPr>
      </w:pPr>
    </w:p>
    <w:p w:rsidR="00AB6E1F" w:rsidRDefault="00C9082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noProof/>
        </w:rPr>
        <w:lastRenderedPageBreak/>
        <w:drawing>
          <wp:inline distT="114300" distB="114300" distL="114300" distR="114300">
            <wp:extent cx="5943600" cy="4889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6E1F" w:rsidRDefault="00AB6E1F">
      <w:pPr>
        <w:rPr>
          <w:rFonts w:ascii="Garamond" w:eastAsia="Garamond" w:hAnsi="Garamond" w:cs="Garamond"/>
          <w:b/>
        </w:rPr>
      </w:pPr>
    </w:p>
    <w:p w:rsidR="00AB6E1F" w:rsidRDefault="00C9082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What’s next and key events?</w:t>
      </w:r>
    </w:p>
    <w:p w:rsidR="00AB6E1F" w:rsidRDefault="00AB6E1F">
      <w:pPr>
        <w:rPr>
          <w:rFonts w:ascii="Garamond" w:eastAsia="Garamond" w:hAnsi="Garamond" w:cs="Garamond"/>
          <w:sz w:val="20"/>
          <w:szCs w:val="20"/>
        </w:rPr>
      </w:pPr>
    </w:p>
    <w:p w:rsidR="00AB6E1F" w:rsidRDefault="00C90822">
      <w:r>
        <w:t xml:space="preserve">One Item to look for in the future is the continuing impact of the tariffs that Trump levied on foreign steel (25%) and aluminum (10%). </w:t>
      </w:r>
      <w:r>
        <w:rPr>
          <w:highlight w:val="white"/>
        </w:rPr>
        <w:t>These tariffs could ignite a global trade wa</w:t>
      </w:r>
      <w:r>
        <w:rPr>
          <w:highlight w:val="white"/>
        </w:rPr>
        <w:t>r which would cause a hike in prices for goods and services. The possibility of a fourth rate increase by The Fed is another event to keep an eye out for.</w:t>
      </w:r>
    </w:p>
    <w:sectPr w:rsidR="00AB6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0822">
      <w:r>
        <w:separator/>
      </w:r>
    </w:p>
  </w:endnote>
  <w:endnote w:type="continuationSeparator" w:id="0">
    <w:p w:rsidR="00000000" w:rsidRDefault="00C9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1F" w:rsidRDefault="00AB6E1F">
    <w:pPr>
      <w:tabs>
        <w:tab w:val="center" w:pos="4680"/>
        <w:tab w:val="right" w:pos="9360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1F" w:rsidRDefault="00AB6E1F">
    <w:pPr>
      <w:tabs>
        <w:tab w:val="center" w:pos="4680"/>
        <w:tab w:val="right" w:pos="9360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1F" w:rsidRDefault="00AB6E1F">
    <w:pPr>
      <w:tabs>
        <w:tab w:val="center" w:pos="4680"/>
        <w:tab w:val="right" w:pos="936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0822">
      <w:r>
        <w:separator/>
      </w:r>
    </w:p>
  </w:footnote>
  <w:footnote w:type="continuationSeparator" w:id="0">
    <w:p w:rsidR="00000000" w:rsidRDefault="00C9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1F" w:rsidRDefault="00AB6E1F">
    <w:pPr>
      <w:tabs>
        <w:tab w:val="center" w:pos="4680"/>
        <w:tab w:val="right" w:pos="9360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1F" w:rsidRDefault="00AB6E1F">
    <w:pPr>
      <w:tabs>
        <w:tab w:val="center" w:pos="4680"/>
        <w:tab w:val="right" w:pos="9360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1F" w:rsidRDefault="00AB6E1F">
    <w:pPr>
      <w:tabs>
        <w:tab w:val="center" w:pos="4680"/>
        <w:tab w:val="right" w:pos="9360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1F"/>
    <w:rsid w:val="00AB6E1F"/>
    <w:rsid w:val="00C9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734E0FB-E45B-4240-8B19-542A7380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15811E0A</Template>
  <TotalTime>0</TotalTime>
  <Pages>2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College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Galante, Peter</dc:creator>
  <cp:lastModifiedBy>Galante, Peter</cp:lastModifiedBy>
  <cp:revision>2</cp:revision>
  <dcterms:created xsi:type="dcterms:W3CDTF">2018-03-05T15:43:00Z</dcterms:created>
  <dcterms:modified xsi:type="dcterms:W3CDTF">2018-03-05T15:43:00Z</dcterms:modified>
</cp:coreProperties>
</file>