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5CCF" w:rsidRDefault="004A5CCF" w:rsidP="004A5CCF">
      <w:pPr>
        <w:jc w:val="center"/>
        <w:rPr>
          <w:rFonts w:ascii="Garamond" w:hAnsi="Garamond"/>
          <w:sz w:val="32"/>
          <w:szCs w:val="32"/>
          <w:u w:val="single"/>
        </w:rPr>
      </w:pPr>
      <w:bookmarkStart w:id="0" w:name="_GoBack"/>
      <w:bookmarkEnd w:id="0"/>
      <w:r w:rsidRPr="004A5CCF">
        <w:rPr>
          <w:rFonts w:ascii="Garamond" w:hAnsi="Garamond"/>
          <w:sz w:val="32"/>
          <w:szCs w:val="32"/>
          <w:u w:val="single"/>
        </w:rPr>
        <w:t>Bond Report</w:t>
      </w:r>
    </w:p>
    <w:p w:rsidR="004A5CCF" w:rsidRDefault="004A5CCF" w:rsidP="004A5CCF">
      <w:pPr>
        <w:rPr>
          <w:rFonts w:ascii="Garamond" w:hAnsi="Garamond"/>
          <w:sz w:val="24"/>
          <w:szCs w:val="24"/>
        </w:rPr>
      </w:pPr>
      <w:r w:rsidRPr="004A5CCF">
        <w:rPr>
          <w:rFonts w:ascii="Garamond" w:hAnsi="Garamond"/>
          <w:sz w:val="24"/>
          <w:szCs w:val="24"/>
        </w:rPr>
        <w:tab/>
      </w:r>
      <w:r w:rsidR="00314D74">
        <w:rPr>
          <w:rFonts w:ascii="Garamond" w:hAnsi="Garamond"/>
          <w:sz w:val="24"/>
          <w:szCs w:val="24"/>
        </w:rPr>
        <w:t xml:space="preserve">U.S. Treasury bonds rose on Friday, but experienced the biggest weekly selloff in over a month, that being since March 6th. Investors continue to speculate and cope with the Fed’s uncertainty of when to raise interest rates, as well as the low bond yields throughout developed countries. This week’s gain </w:t>
      </w:r>
      <w:r w:rsidR="003368BE">
        <w:rPr>
          <w:rFonts w:ascii="Garamond" w:hAnsi="Garamond"/>
          <w:sz w:val="24"/>
          <w:szCs w:val="24"/>
        </w:rPr>
        <w:t>contrasts with last week when bonds rallied after a poor job gains report, forcing yields to their lowest since February 5</w:t>
      </w:r>
      <w:r w:rsidR="003368BE" w:rsidRPr="003368BE">
        <w:rPr>
          <w:rFonts w:ascii="Garamond" w:hAnsi="Garamond"/>
          <w:sz w:val="24"/>
          <w:szCs w:val="24"/>
          <w:vertAlign w:val="superscript"/>
        </w:rPr>
        <w:t>th</w:t>
      </w:r>
      <w:r w:rsidR="003368BE">
        <w:rPr>
          <w:rFonts w:ascii="Garamond" w:hAnsi="Garamond"/>
          <w:sz w:val="24"/>
          <w:szCs w:val="24"/>
        </w:rPr>
        <w:t>.</w:t>
      </w:r>
      <w:r w:rsidR="00184411">
        <w:rPr>
          <w:rFonts w:ascii="Garamond" w:hAnsi="Garamond"/>
          <w:sz w:val="24"/>
          <w:szCs w:val="24"/>
        </w:rPr>
        <w:t xml:space="preserve"> The yield on benchmark 10 year treasury notes rose .11 percentage points on the week, the most since the week ended March 6</w:t>
      </w:r>
      <w:r w:rsidR="00184411" w:rsidRPr="00184411">
        <w:rPr>
          <w:rFonts w:ascii="Garamond" w:hAnsi="Garamond"/>
          <w:sz w:val="24"/>
          <w:szCs w:val="24"/>
          <w:vertAlign w:val="superscript"/>
        </w:rPr>
        <w:t>th</w:t>
      </w:r>
      <w:r w:rsidR="00184411">
        <w:rPr>
          <w:rFonts w:ascii="Garamond" w:hAnsi="Garamond"/>
          <w:sz w:val="24"/>
          <w:szCs w:val="24"/>
        </w:rPr>
        <w:t>. The yield closed at 1.85% last week and closed this past week at 1.96%. Throughout the week</w:t>
      </w:r>
      <w:r w:rsidR="002A2B31">
        <w:rPr>
          <w:rFonts w:ascii="Garamond" w:hAnsi="Garamond"/>
          <w:sz w:val="24"/>
          <w:szCs w:val="24"/>
        </w:rPr>
        <w:t xml:space="preserve"> itself</w:t>
      </w:r>
      <w:r w:rsidR="00184411">
        <w:rPr>
          <w:rFonts w:ascii="Garamond" w:hAnsi="Garamond"/>
          <w:sz w:val="24"/>
          <w:szCs w:val="24"/>
        </w:rPr>
        <w:t xml:space="preserve"> no significant factors forced bond yields or prices to fluctuate greatly, with the yield remaining relatively</w:t>
      </w:r>
      <w:r w:rsidR="0036293D">
        <w:rPr>
          <w:rFonts w:ascii="Garamond" w:hAnsi="Garamond"/>
          <w:sz w:val="24"/>
          <w:szCs w:val="24"/>
        </w:rPr>
        <w:t xml:space="preserve"> stable</w:t>
      </w:r>
      <w:r w:rsidR="00184411">
        <w:rPr>
          <w:rFonts w:ascii="Garamond" w:hAnsi="Garamond"/>
          <w:sz w:val="24"/>
          <w:szCs w:val="24"/>
        </w:rPr>
        <w:t xml:space="preserve"> in the 1.92%-1.96% range</w:t>
      </w:r>
      <w:r w:rsidR="002A2B31">
        <w:rPr>
          <w:rFonts w:ascii="Garamond" w:hAnsi="Garamond"/>
          <w:sz w:val="24"/>
          <w:szCs w:val="24"/>
        </w:rPr>
        <w:t>.</w:t>
      </w:r>
    </w:p>
    <w:p w:rsidR="005D52B2" w:rsidRDefault="005D52B2" w:rsidP="004A5CCF">
      <w:pPr>
        <w:rPr>
          <w:rFonts w:ascii="Garamond" w:hAnsi="Garamond"/>
          <w:sz w:val="24"/>
          <w:szCs w:val="24"/>
        </w:rPr>
      </w:pPr>
      <w:r>
        <w:rPr>
          <w:noProof/>
        </w:rPr>
        <w:drawing>
          <wp:inline distT="0" distB="0" distL="0" distR="0" wp14:anchorId="306D93E2" wp14:editId="3FB88536">
            <wp:extent cx="5775306" cy="29569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0099" t="17964" r="-121" b="18008"/>
                    <a:stretch/>
                  </pic:blipFill>
                  <pic:spPr bwMode="auto">
                    <a:xfrm>
                      <a:off x="0" y="0"/>
                      <a:ext cx="5783615" cy="2961210"/>
                    </a:xfrm>
                    <a:prstGeom prst="rect">
                      <a:avLst/>
                    </a:prstGeom>
                    <a:ln>
                      <a:noFill/>
                    </a:ln>
                    <a:extLst>
                      <a:ext uri="{53640926-AAD7-44D8-BBD7-CCE9431645EC}">
                        <a14:shadowObscured xmlns:a14="http://schemas.microsoft.com/office/drawing/2010/main"/>
                      </a:ext>
                    </a:extLst>
                  </pic:spPr>
                </pic:pic>
              </a:graphicData>
            </a:graphic>
          </wp:inline>
        </w:drawing>
      </w:r>
    </w:p>
    <w:p w:rsidR="005D52B2" w:rsidRDefault="005D52B2" w:rsidP="004A5CCF">
      <w:pPr>
        <w:rPr>
          <w:rFonts w:ascii="Garamond" w:hAnsi="Garamond"/>
          <w:sz w:val="24"/>
          <w:szCs w:val="24"/>
        </w:rPr>
      </w:pPr>
      <w:r>
        <w:rPr>
          <w:noProof/>
        </w:rPr>
        <w:lastRenderedPageBreak/>
        <w:drawing>
          <wp:inline distT="0" distB="0" distL="0" distR="0" wp14:anchorId="6BF91F09" wp14:editId="670D70A3">
            <wp:extent cx="5759532" cy="283331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0499" t="17964" r="-121" b="21009"/>
                    <a:stretch/>
                  </pic:blipFill>
                  <pic:spPr bwMode="auto">
                    <a:xfrm>
                      <a:off x="0" y="0"/>
                      <a:ext cx="5767818" cy="2837393"/>
                    </a:xfrm>
                    <a:prstGeom prst="rect">
                      <a:avLst/>
                    </a:prstGeom>
                    <a:ln>
                      <a:noFill/>
                    </a:ln>
                    <a:extLst>
                      <a:ext uri="{53640926-AAD7-44D8-BBD7-CCE9431645EC}">
                        <a14:shadowObscured xmlns:a14="http://schemas.microsoft.com/office/drawing/2010/main"/>
                      </a:ext>
                    </a:extLst>
                  </pic:spPr>
                </pic:pic>
              </a:graphicData>
            </a:graphic>
          </wp:inline>
        </w:drawing>
      </w:r>
    </w:p>
    <w:p w:rsidR="005D52B2" w:rsidRDefault="005D52B2" w:rsidP="004A5CCF">
      <w:pPr>
        <w:rPr>
          <w:rFonts w:ascii="Garamond" w:hAnsi="Garamond"/>
          <w:sz w:val="24"/>
          <w:szCs w:val="24"/>
        </w:rPr>
      </w:pPr>
    </w:p>
    <w:p w:rsidR="006F0DF1" w:rsidRDefault="006F0DF1" w:rsidP="006F0DF1">
      <w:pPr>
        <w:jc w:val="center"/>
        <w:rPr>
          <w:rFonts w:ascii="Garamond" w:hAnsi="Garamond"/>
          <w:sz w:val="32"/>
          <w:szCs w:val="32"/>
          <w:u w:val="single"/>
        </w:rPr>
      </w:pPr>
      <w:r w:rsidRPr="006F0DF1">
        <w:rPr>
          <w:rFonts w:ascii="Garamond" w:hAnsi="Garamond"/>
          <w:sz w:val="32"/>
          <w:szCs w:val="32"/>
          <w:u w:val="single"/>
        </w:rPr>
        <w:t xml:space="preserve">What’s Next &amp; Key </w:t>
      </w:r>
      <w:proofErr w:type="gramStart"/>
      <w:r w:rsidRPr="006F0DF1">
        <w:rPr>
          <w:rFonts w:ascii="Garamond" w:hAnsi="Garamond"/>
          <w:sz w:val="32"/>
          <w:szCs w:val="32"/>
          <w:u w:val="single"/>
        </w:rPr>
        <w:t>Earnings</w:t>
      </w:r>
      <w:proofErr w:type="gramEnd"/>
    </w:p>
    <w:p w:rsidR="006F0DF1" w:rsidRDefault="006F0DF1" w:rsidP="006F0DF1">
      <w:pPr>
        <w:rPr>
          <w:rFonts w:ascii="Garamond" w:hAnsi="Garamond"/>
          <w:sz w:val="24"/>
          <w:szCs w:val="24"/>
        </w:rPr>
      </w:pPr>
      <w:r>
        <w:rPr>
          <w:rFonts w:ascii="Garamond" w:hAnsi="Garamond"/>
          <w:sz w:val="24"/>
          <w:szCs w:val="24"/>
        </w:rPr>
        <w:t>On Monday, April 13</w:t>
      </w:r>
      <w:r w:rsidRPr="006F0DF1">
        <w:rPr>
          <w:rFonts w:ascii="Garamond" w:hAnsi="Garamond"/>
          <w:sz w:val="24"/>
          <w:szCs w:val="24"/>
          <w:vertAlign w:val="superscript"/>
        </w:rPr>
        <w:t>th</w:t>
      </w:r>
      <w:r>
        <w:rPr>
          <w:rFonts w:ascii="Garamond" w:hAnsi="Garamond"/>
          <w:sz w:val="24"/>
          <w:szCs w:val="24"/>
        </w:rPr>
        <w:t xml:space="preserve"> the U.S. Federal Budget Balance will be released. </w:t>
      </w:r>
      <w:r w:rsidRPr="006F0DF1">
        <w:rPr>
          <w:rFonts w:ascii="Garamond" w:hAnsi="Garamond"/>
          <w:sz w:val="24"/>
          <w:szCs w:val="24"/>
        </w:rPr>
        <w:t xml:space="preserve">The Federal Budget Balance measures the difference in value between the federal government's income and expenditure during the reported month. A positive number indicates a budget </w:t>
      </w:r>
      <w:proofErr w:type="gramStart"/>
      <w:r w:rsidRPr="006F0DF1">
        <w:rPr>
          <w:rFonts w:ascii="Garamond" w:hAnsi="Garamond"/>
          <w:sz w:val="24"/>
          <w:szCs w:val="24"/>
        </w:rPr>
        <w:t>surplus,</w:t>
      </w:r>
      <w:proofErr w:type="gramEnd"/>
      <w:r w:rsidRPr="006F0DF1">
        <w:rPr>
          <w:rFonts w:ascii="Garamond" w:hAnsi="Garamond"/>
          <w:sz w:val="24"/>
          <w:szCs w:val="24"/>
        </w:rPr>
        <w:t xml:space="preserve"> a negative number indicates a deficit.</w:t>
      </w:r>
    </w:p>
    <w:p w:rsidR="006F0DF1" w:rsidRDefault="006F0DF1" w:rsidP="006F0DF1">
      <w:pPr>
        <w:rPr>
          <w:rFonts w:ascii="Garamond" w:hAnsi="Garamond"/>
          <w:sz w:val="24"/>
          <w:szCs w:val="24"/>
        </w:rPr>
      </w:pPr>
      <w:r>
        <w:rPr>
          <w:rFonts w:ascii="Garamond" w:hAnsi="Garamond"/>
          <w:sz w:val="24"/>
          <w:szCs w:val="24"/>
        </w:rPr>
        <w:t>On Tuesday, April 14</w:t>
      </w:r>
      <w:r w:rsidRPr="006F0DF1">
        <w:rPr>
          <w:rFonts w:ascii="Garamond" w:hAnsi="Garamond"/>
          <w:sz w:val="24"/>
          <w:szCs w:val="24"/>
          <w:vertAlign w:val="superscript"/>
        </w:rPr>
        <w:t>th</w:t>
      </w:r>
      <w:r>
        <w:rPr>
          <w:rFonts w:ascii="Garamond" w:hAnsi="Garamond"/>
          <w:sz w:val="24"/>
          <w:szCs w:val="24"/>
        </w:rPr>
        <w:t xml:space="preserve">, the U.S. Retail and Core Retail Sales </w:t>
      </w:r>
      <w:proofErr w:type="spellStart"/>
      <w:r>
        <w:rPr>
          <w:rFonts w:ascii="Garamond" w:hAnsi="Garamond"/>
          <w:sz w:val="24"/>
          <w:szCs w:val="24"/>
        </w:rPr>
        <w:t>MoM</w:t>
      </w:r>
      <w:proofErr w:type="spellEnd"/>
      <w:r>
        <w:rPr>
          <w:rFonts w:ascii="Garamond" w:hAnsi="Garamond"/>
          <w:sz w:val="24"/>
          <w:szCs w:val="24"/>
        </w:rPr>
        <w:t xml:space="preserve"> will be released. </w:t>
      </w:r>
      <w:r w:rsidRPr="006F0DF1">
        <w:rPr>
          <w:rFonts w:ascii="Garamond" w:hAnsi="Garamond"/>
          <w:sz w:val="24"/>
          <w:szCs w:val="24"/>
        </w:rPr>
        <w:t>Core Retail Sales measures the change in the total value of sales at the retail level in the U.S., excluding automobiles. It is an important indicator of consumer spending and is also considered as a pace indicator for the U.S. economy.</w:t>
      </w:r>
      <w:r>
        <w:rPr>
          <w:rFonts w:ascii="Garamond" w:hAnsi="Garamond"/>
          <w:sz w:val="24"/>
          <w:szCs w:val="24"/>
        </w:rPr>
        <w:t xml:space="preserve"> </w:t>
      </w:r>
      <w:r w:rsidRPr="006F0DF1">
        <w:rPr>
          <w:rFonts w:ascii="Garamond" w:hAnsi="Garamond"/>
          <w:sz w:val="24"/>
          <w:szCs w:val="24"/>
        </w:rPr>
        <w:t>Retail Sales measure the change in the total value of inflation-adjusted sales at the retail level. It is the foremost indicator of consumer spending, which accounts for the majority of overall economic activity.</w:t>
      </w:r>
    </w:p>
    <w:p w:rsidR="006F0DF1" w:rsidRDefault="006F0DF1" w:rsidP="006F0DF1">
      <w:pPr>
        <w:rPr>
          <w:rFonts w:ascii="Garamond" w:hAnsi="Garamond"/>
          <w:sz w:val="24"/>
          <w:szCs w:val="24"/>
        </w:rPr>
      </w:pPr>
      <w:r>
        <w:rPr>
          <w:rFonts w:ascii="Garamond" w:hAnsi="Garamond"/>
          <w:sz w:val="24"/>
          <w:szCs w:val="24"/>
        </w:rPr>
        <w:t>On Tuesday, April 14</w:t>
      </w:r>
      <w:r w:rsidRPr="006F0DF1">
        <w:rPr>
          <w:rFonts w:ascii="Garamond" w:hAnsi="Garamond"/>
          <w:sz w:val="24"/>
          <w:szCs w:val="24"/>
          <w:vertAlign w:val="superscript"/>
        </w:rPr>
        <w:t>th</w:t>
      </w:r>
      <w:r>
        <w:rPr>
          <w:rFonts w:ascii="Garamond" w:hAnsi="Garamond"/>
          <w:sz w:val="24"/>
          <w:szCs w:val="24"/>
        </w:rPr>
        <w:t xml:space="preserve">, the U.S. Producer Price Index will be released. </w:t>
      </w:r>
      <w:r w:rsidRPr="006F0DF1">
        <w:rPr>
          <w:rFonts w:ascii="Garamond" w:hAnsi="Garamond"/>
          <w:sz w:val="24"/>
          <w:szCs w:val="24"/>
        </w:rPr>
        <w:t>The Producer Price Index (PPI) measures the change in the price of goods sold by manufacturers. It is a leading indicator of consumer price inflation, which accounts for the majority of overall inflation.</w:t>
      </w:r>
    </w:p>
    <w:p w:rsidR="00843867" w:rsidRDefault="00843867" w:rsidP="006F0DF1">
      <w:pPr>
        <w:rPr>
          <w:rFonts w:ascii="Garamond" w:hAnsi="Garamond"/>
          <w:sz w:val="24"/>
          <w:szCs w:val="24"/>
        </w:rPr>
      </w:pPr>
      <w:r>
        <w:rPr>
          <w:rFonts w:ascii="Garamond" w:hAnsi="Garamond"/>
          <w:sz w:val="24"/>
          <w:szCs w:val="24"/>
        </w:rPr>
        <w:t>On Thursday, April 16</w:t>
      </w:r>
      <w:r w:rsidRPr="00843867">
        <w:rPr>
          <w:rFonts w:ascii="Garamond" w:hAnsi="Garamond"/>
          <w:sz w:val="24"/>
          <w:szCs w:val="24"/>
          <w:vertAlign w:val="superscript"/>
        </w:rPr>
        <w:t>th</w:t>
      </w:r>
      <w:r>
        <w:rPr>
          <w:rFonts w:ascii="Garamond" w:hAnsi="Garamond"/>
          <w:sz w:val="24"/>
          <w:szCs w:val="24"/>
        </w:rPr>
        <w:t xml:space="preserve">, the U.S. Building Permits measure will be released. </w:t>
      </w:r>
      <w:r w:rsidRPr="00843867">
        <w:rPr>
          <w:rFonts w:ascii="Garamond" w:hAnsi="Garamond"/>
          <w:sz w:val="24"/>
          <w:szCs w:val="24"/>
        </w:rPr>
        <w:t>Building Permits measures the change in the number of new building permits issued by the government. Building permits are a key indicator of demand in the housing market.</w:t>
      </w:r>
      <w:r>
        <w:rPr>
          <w:rFonts w:ascii="Garamond" w:hAnsi="Garamond"/>
          <w:sz w:val="24"/>
          <w:szCs w:val="24"/>
        </w:rPr>
        <w:t xml:space="preserve"> Housing Starts measure will also be released.</w:t>
      </w:r>
    </w:p>
    <w:p w:rsidR="00843867" w:rsidRDefault="00843867" w:rsidP="006F0DF1">
      <w:pPr>
        <w:rPr>
          <w:rFonts w:ascii="Garamond" w:hAnsi="Garamond"/>
          <w:sz w:val="24"/>
          <w:szCs w:val="24"/>
        </w:rPr>
      </w:pPr>
      <w:r>
        <w:rPr>
          <w:rFonts w:ascii="Garamond" w:hAnsi="Garamond"/>
          <w:sz w:val="24"/>
          <w:szCs w:val="24"/>
        </w:rPr>
        <w:t xml:space="preserve">On Friday, Core CPI Index measure will be released. </w:t>
      </w:r>
      <w:r w:rsidRPr="00843867">
        <w:rPr>
          <w:rFonts w:ascii="Garamond" w:hAnsi="Garamond"/>
          <w:sz w:val="24"/>
          <w:szCs w:val="24"/>
        </w:rPr>
        <w:t xml:space="preserve">The Core Consumer Price Index (CPI) measures the changes in the price of goods and services, excluding food and energy. The CPI </w:t>
      </w:r>
      <w:r w:rsidRPr="00843867">
        <w:rPr>
          <w:rFonts w:ascii="Garamond" w:hAnsi="Garamond"/>
          <w:sz w:val="24"/>
          <w:szCs w:val="24"/>
        </w:rPr>
        <w:lastRenderedPageBreak/>
        <w:t>measures price change from the perspective of the consumer. It is a key way to measure changes in purchasing trends and inflation.</w:t>
      </w:r>
    </w:p>
    <w:p w:rsidR="00843867" w:rsidRDefault="00843867" w:rsidP="006F0DF1">
      <w:pPr>
        <w:rPr>
          <w:rFonts w:ascii="Garamond" w:hAnsi="Garamond"/>
          <w:sz w:val="24"/>
          <w:szCs w:val="24"/>
        </w:rPr>
      </w:pPr>
    </w:p>
    <w:p w:rsidR="00CC4965" w:rsidRDefault="00CC4965" w:rsidP="006F0DF1">
      <w:pPr>
        <w:rPr>
          <w:rFonts w:ascii="Garamond" w:hAnsi="Garamond"/>
          <w:sz w:val="24"/>
          <w:szCs w:val="24"/>
        </w:rPr>
      </w:pPr>
      <w:r>
        <w:rPr>
          <w:noProof/>
        </w:rPr>
        <w:drawing>
          <wp:inline distT="0" distB="0" distL="0" distR="0" wp14:anchorId="67D82186" wp14:editId="16C9C1D2">
            <wp:extent cx="5588874" cy="4251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4404" t="25623" r="38781" b="11032"/>
                    <a:stretch/>
                  </pic:blipFill>
                  <pic:spPr bwMode="auto">
                    <a:xfrm>
                      <a:off x="0" y="0"/>
                      <a:ext cx="5596251" cy="4256978"/>
                    </a:xfrm>
                    <a:prstGeom prst="rect">
                      <a:avLst/>
                    </a:prstGeom>
                    <a:ln>
                      <a:noFill/>
                    </a:ln>
                    <a:extLst>
                      <a:ext uri="{53640926-AAD7-44D8-BBD7-CCE9431645EC}">
                        <a14:shadowObscured xmlns:a14="http://schemas.microsoft.com/office/drawing/2010/main"/>
                      </a:ext>
                    </a:extLst>
                  </pic:spPr>
                </pic:pic>
              </a:graphicData>
            </a:graphic>
          </wp:inline>
        </w:drawing>
      </w:r>
    </w:p>
    <w:p w:rsidR="00CC4965" w:rsidRPr="006F0DF1" w:rsidRDefault="00CC4965" w:rsidP="006F0DF1">
      <w:pPr>
        <w:rPr>
          <w:rFonts w:ascii="Garamond" w:hAnsi="Garamond"/>
          <w:sz w:val="24"/>
          <w:szCs w:val="24"/>
        </w:rPr>
      </w:pPr>
      <w:r>
        <w:rPr>
          <w:noProof/>
        </w:rPr>
        <w:lastRenderedPageBreak/>
        <w:drawing>
          <wp:inline distT="0" distB="0" distL="0" distR="0" wp14:anchorId="364549E2" wp14:editId="207A0AF2">
            <wp:extent cx="5593278" cy="4266060"/>
            <wp:effectExtent l="0" t="0" r="762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204" t="25267" r="38581" b="10676"/>
                    <a:stretch/>
                  </pic:blipFill>
                  <pic:spPr bwMode="auto">
                    <a:xfrm>
                      <a:off x="0" y="0"/>
                      <a:ext cx="5600654" cy="4271686"/>
                    </a:xfrm>
                    <a:prstGeom prst="rect">
                      <a:avLst/>
                    </a:prstGeom>
                    <a:ln>
                      <a:noFill/>
                    </a:ln>
                    <a:extLst>
                      <a:ext uri="{53640926-AAD7-44D8-BBD7-CCE9431645EC}">
                        <a14:shadowObscured xmlns:a14="http://schemas.microsoft.com/office/drawing/2010/main"/>
                      </a:ext>
                    </a:extLst>
                  </pic:spPr>
                </pic:pic>
              </a:graphicData>
            </a:graphic>
          </wp:inline>
        </w:drawing>
      </w:r>
    </w:p>
    <w:sectPr w:rsidR="00CC4965" w:rsidRPr="006F0D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CCF"/>
    <w:rsid w:val="00000359"/>
    <w:rsid w:val="00004ECA"/>
    <w:rsid w:val="00030BDC"/>
    <w:rsid w:val="0003627F"/>
    <w:rsid w:val="0004496E"/>
    <w:rsid w:val="000534DB"/>
    <w:rsid w:val="00087CDB"/>
    <w:rsid w:val="00096333"/>
    <w:rsid w:val="000B3EEE"/>
    <w:rsid w:val="000E4BB1"/>
    <w:rsid w:val="0013557B"/>
    <w:rsid w:val="00157AC6"/>
    <w:rsid w:val="001703E7"/>
    <w:rsid w:val="001747F5"/>
    <w:rsid w:val="00174CF0"/>
    <w:rsid w:val="001834A5"/>
    <w:rsid w:val="00184411"/>
    <w:rsid w:val="00192BF0"/>
    <w:rsid w:val="001C72EA"/>
    <w:rsid w:val="001D642A"/>
    <w:rsid w:val="002268A9"/>
    <w:rsid w:val="002460AC"/>
    <w:rsid w:val="00276C24"/>
    <w:rsid w:val="002A2B31"/>
    <w:rsid w:val="002C1D3D"/>
    <w:rsid w:val="003038A1"/>
    <w:rsid w:val="00314D74"/>
    <w:rsid w:val="003368BE"/>
    <w:rsid w:val="003442CB"/>
    <w:rsid w:val="00353009"/>
    <w:rsid w:val="0036293D"/>
    <w:rsid w:val="00370073"/>
    <w:rsid w:val="003753FC"/>
    <w:rsid w:val="00392236"/>
    <w:rsid w:val="00394846"/>
    <w:rsid w:val="003C2BD0"/>
    <w:rsid w:val="003C3AF3"/>
    <w:rsid w:val="003D1D2A"/>
    <w:rsid w:val="003D4659"/>
    <w:rsid w:val="003E7EDE"/>
    <w:rsid w:val="003F4FC5"/>
    <w:rsid w:val="004215BE"/>
    <w:rsid w:val="00425F27"/>
    <w:rsid w:val="00455445"/>
    <w:rsid w:val="004560B8"/>
    <w:rsid w:val="00470E45"/>
    <w:rsid w:val="004725BB"/>
    <w:rsid w:val="00496F51"/>
    <w:rsid w:val="004A050A"/>
    <w:rsid w:val="004A4C47"/>
    <w:rsid w:val="004A5CCF"/>
    <w:rsid w:val="004A7913"/>
    <w:rsid w:val="004E4E01"/>
    <w:rsid w:val="004F0DE3"/>
    <w:rsid w:val="004F521E"/>
    <w:rsid w:val="00522A8A"/>
    <w:rsid w:val="005336FD"/>
    <w:rsid w:val="00536965"/>
    <w:rsid w:val="0057294F"/>
    <w:rsid w:val="005B1DE7"/>
    <w:rsid w:val="005B7200"/>
    <w:rsid w:val="005D52B2"/>
    <w:rsid w:val="0060738E"/>
    <w:rsid w:val="00607BAC"/>
    <w:rsid w:val="00643153"/>
    <w:rsid w:val="00653D9C"/>
    <w:rsid w:val="00660101"/>
    <w:rsid w:val="00665154"/>
    <w:rsid w:val="006A158D"/>
    <w:rsid w:val="006C6809"/>
    <w:rsid w:val="006E6FB6"/>
    <w:rsid w:val="006F0DF1"/>
    <w:rsid w:val="006F7A3F"/>
    <w:rsid w:val="007060CA"/>
    <w:rsid w:val="007334A7"/>
    <w:rsid w:val="00741096"/>
    <w:rsid w:val="00744DE3"/>
    <w:rsid w:val="00750500"/>
    <w:rsid w:val="007530F9"/>
    <w:rsid w:val="00754152"/>
    <w:rsid w:val="00760604"/>
    <w:rsid w:val="007649E2"/>
    <w:rsid w:val="00780AD9"/>
    <w:rsid w:val="00780C8D"/>
    <w:rsid w:val="00786834"/>
    <w:rsid w:val="007944CB"/>
    <w:rsid w:val="007C4B3B"/>
    <w:rsid w:val="007E4E02"/>
    <w:rsid w:val="008022A4"/>
    <w:rsid w:val="00802358"/>
    <w:rsid w:val="00806B22"/>
    <w:rsid w:val="00825959"/>
    <w:rsid w:val="00831726"/>
    <w:rsid w:val="008325EC"/>
    <w:rsid w:val="00843867"/>
    <w:rsid w:val="00863570"/>
    <w:rsid w:val="0089158B"/>
    <w:rsid w:val="0089626E"/>
    <w:rsid w:val="008A2D58"/>
    <w:rsid w:val="008B392B"/>
    <w:rsid w:val="008C3398"/>
    <w:rsid w:val="008D6C56"/>
    <w:rsid w:val="008E55AB"/>
    <w:rsid w:val="008F54D9"/>
    <w:rsid w:val="00922680"/>
    <w:rsid w:val="009334D0"/>
    <w:rsid w:val="00933A85"/>
    <w:rsid w:val="0094439C"/>
    <w:rsid w:val="009659C9"/>
    <w:rsid w:val="00985EB5"/>
    <w:rsid w:val="009A75D8"/>
    <w:rsid w:val="009E3DC1"/>
    <w:rsid w:val="009F03B6"/>
    <w:rsid w:val="009F0DAB"/>
    <w:rsid w:val="00A05966"/>
    <w:rsid w:val="00A175B3"/>
    <w:rsid w:val="00A271FF"/>
    <w:rsid w:val="00A510F0"/>
    <w:rsid w:val="00A668B6"/>
    <w:rsid w:val="00A7356B"/>
    <w:rsid w:val="00A91C30"/>
    <w:rsid w:val="00AD600C"/>
    <w:rsid w:val="00AD704B"/>
    <w:rsid w:val="00AE1137"/>
    <w:rsid w:val="00AE1D07"/>
    <w:rsid w:val="00B0698E"/>
    <w:rsid w:val="00B20616"/>
    <w:rsid w:val="00B60C48"/>
    <w:rsid w:val="00B64BD0"/>
    <w:rsid w:val="00B954C4"/>
    <w:rsid w:val="00BA1978"/>
    <w:rsid w:val="00BD193E"/>
    <w:rsid w:val="00BD407C"/>
    <w:rsid w:val="00BD6C20"/>
    <w:rsid w:val="00BF0A31"/>
    <w:rsid w:val="00C05192"/>
    <w:rsid w:val="00C12298"/>
    <w:rsid w:val="00C21321"/>
    <w:rsid w:val="00C263E7"/>
    <w:rsid w:val="00C35A45"/>
    <w:rsid w:val="00C62980"/>
    <w:rsid w:val="00C95245"/>
    <w:rsid w:val="00CC4965"/>
    <w:rsid w:val="00CC6F0C"/>
    <w:rsid w:val="00CD0398"/>
    <w:rsid w:val="00D0469B"/>
    <w:rsid w:val="00D26525"/>
    <w:rsid w:val="00D31AFF"/>
    <w:rsid w:val="00D33840"/>
    <w:rsid w:val="00D70FD5"/>
    <w:rsid w:val="00D7376A"/>
    <w:rsid w:val="00D91A30"/>
    <w:rsid w:val="00DB067E"/>
    <w:rsid w:val="00DB1178"/>
    <w:rsid w:val="00DC36E7"/>
    <w:rsid w:val="00DD452B"/>
    <w:rsid w:val="00E14BB2"/>
    <w:rsid w:val="00E414C2"/>
    <w:rsid w:val="00E46FA5"/>
    <w:rsid w:val="00EB761D"/>
    <w:rsid w:val="00EC022F"/>
    <w:rsid w:val="00ED12A0"/>
    <w:rsid w:val="00EF34F7"/>
    <w:rsid w:val="00F0576A"/>
    <w:rsid w:val="00F249F4"/>
    <w:rsid w:val="00F24BFA"/>
    <w:rsid w:val="00F33B78"/>
    <w:rsid w:val="00F42E3C"/>
    <w:rsid w:val="00F452A2"/>
    <w:rsid w:val="00F7370B"/>
    <w:rsid w:val="00F95E8B"/>
    <w:rsid w:val="00FA6259"/>
    <w:rsid w:val="00FA74B5"/>
    <w:rsid w:val="00FB5585"/>
    <w:rsid w:val="00FC2874"/>
    <w:rsid w:val="00FC68A5"/>
    <w:rsid w:val="00FE5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9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9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9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817DE17C</Template>
  <TotalTime>0</TotalTime>
  <Pages>4</Pages>
  <Words>382</Words>
  <Characters>2184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Siena College</Company>
  <LinksUpToDate>false</LinksUpToDate>
  <CharactersWithSpaces>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Mitch</dc:creator>
  <cp:lastModifiedBy>Rajeski, Tyler</cp:lastModifiedBy>
  <cp:revision>2</cp:revision>
  <dcterms:created xsi:type="dcterms:W3CDTF">2015-04-14T11:55:00Z</dcterms:created>
  <dcterms:modified xsi:type="dcterms:W3CDTF">2015-04-14T11:55:00Z</dcterms:modified>
</cp:coreProperties>
</file>