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E4E" w:rsidRPr="00953FF8" w:rsidRDefault="002E5AC1" w:rsidP="00F95E4E">
      <w:pPr>
        <w:rPr>
          <w:rFonts w:ascii="Garamond" w:eastAsia="Arial" w:hAnsi="Garamond" w:cs="Times New Roman"/>
          <w:b/>
          <w:color w:val="0A6345"/>
          <w:sz w:val="32"/>
          <w:szCs w:val="32"/>
        </w:rPr>
      </w:pPr>
      <w:bookmarkStart w:id="0" w:name="_GoBack"/>
      <w:bookmarkEnd w:id="0"/>
      <w:r w:rsidRPr="00953FF8">
        <w:rPr>
          <w:rFonts w:ascii="Garamond" w:eastAsia="Arial" w:hAnsi="Garamond" w:cs="Times New Roman"/>
          <w:b/>
          <w:color w:val="0A6345"/>
          <w:sz w:val="32"/>
          <w:szCs w:val="32"/>
        </w:rPr>
        <w:t>Macroeconomic</w:t>
      </w:r>
      <w:r w:rsidRPr="00953FF8">
        <w:rPr>
          <w:rFonts w:ascii="Garamond" w:hAnsi="Garamond"/>
          <w:sz w:val="32"/>
          <w:szCs w:val="32"/>
        </w:rPr>
        <w:t xml:space="preserve"> </w:t>
      </w:r>
      <w:r w:rsidRPr="00953FF8">
        <w:rPr>
          <w:rFonts w:ascii="Garamond" w:eastAsia="Arial" w:hAnsi="Garamond" w:cs="Times New Roman"/>
          <w:b/>
          <w:color w:val="0A6345"/>
          <w:sz w:val="32"/>
          <w:szCs w:val="32"/>
        </w:rPr>
        <w:t>Overview</w:t>
      </w:r>
      <w:r w:rsidR="009A3313">
        <w:rPr>
          <w:rFonts w:ascii="Garamond" w:hAnsi="Garamond"/>
          <w:sz w:val="32"/>
          <w:szCs w:val="32"/>
        </w:rPr>
        <w:pict>
          <v:rect id="_x0000_i1025" style="width:468pt;height:1pt" o:hralign="center" o:hrstd="t" o:hrnoshade="t" o:hr="t" fillcolor="#ffc000" stroked="f"/>
        </w:pict>
      </w:r>
    </w:p>
    <w:tbl>
      <w:tblPr>
        <w:tblpPr w:leftFromText="180" w:rightFromText="180" w:vertAnchor="text" w:horzAnchor="margin" w:tblpX="108" w:tblpY="2943"/>
        <w:tblW w:w="0" w:type="auto"/>
        <w:tblLayout w:type="fixed"/>
        <w:tblLook w:val="04A0" w:firstRow="1" w:lastRow="0" w:firstColumn="1" w:lastColumn="0" w:noHBand="0" w:noVBand="1"/>
      </w:tblPr>
      <w:tblGrid>
        <w:gridCol w:w="2178"/>
        <w:gridCol w:w="2070"/>
        <w:gridCol w:w="1980"/>
      </w:tblGrid>
      <w:tr w:rsidR="00AE6E2D" w:rsidRPr="000A6DE6" w:rsidTr="00460A22">
        <w:trPr>
          <w:trHeight w:val="315"/>
        </w:trPr>
        <w:tc>
          <w:tcPr>
            <w:tcW w:w="2178" w:type="dxa"/>
            <w:tcBorders>
              <w:top w:val="single" w:sz="4" w:space="0" w:color="auto"/>
              <w:left w:val="single" w:sz="4" w:space="0" w:color="auto"/>
              <w:bottom w:val="nil"/>
              <w:right w:val="nil"/>
            </w:tcBorders>
            <w:shd w:val="clear" w:color="000000" w:fill="0070C0"/>
            <w:noWrap/>
            <w:vAlign w:val="bottom"/>
            <w:hideMark/>
          </w:tcPr>
          <w:p w:rsidR="00AE6E2D" w:rsidRPr="000A6DE6" w:rsidRDefault="00AE6E2D" w:rsidP="00460A22">
            <w:pPr>
              <w:spacing w:after="0" w:line="240" w:lineRule="auto"/>
              <w:rPr>
                <w:rFonts w:ascii="Garamond" w:eastAsia="Times New Roman" w:hAnsi="Garamond" w:cs="Times New Roman"/>
                <w:b/>
                <w:bCs/>
                <w:color w:val="FFFFFF"/>
              </w:rPr>
            </w:pPr>
            <w:r w:rsidRPr="000A6DE6">
              <w:rPr>
                <w:rFonts w:ascii="Garamond" w:eastAsia="Times New Roman" w:hAnsi="Garamond" w:cs="Times New Roman"/>
                <w:b/>
                <w:bCs/>
                <w:color w:val="FFFFFF"/>
              </w:rPr>
              <w:t>U.S. Stocks</w:t>
            </w:r>
          </w:p>
        </w:tc>
        <w:tc>
          <w:tcPr>
            <w:tcW w:w="2070" w:type="dxa"/>
            <w:tcBorders>
              <w:top w:val="single" w:sz="4" w:space="0" w:color="auto"/>
              <w:left w:val="nil"/>
              <w:bottom w:val="single" w:sz="4" w:space="0" w:color="auto"/>
              <w:right w:val="nil"/>
            </w:tcBorders>
            <w:shd w:val="clear" w:color="000000" w:fill="0070C0"/>
            <w:noWrap/>
            <w:vAlign w:val="bottom"/>
            <w:hideMark/>
          </w:tcPr>
          <w:p w:rsidR="00AE6E2D" w:rsidRPr="000A6DE6" w:rsidRDefault="00AE6E2D" w:rsidP="00460A22">
            <w:pPr>
              <w:spacing w:after="0" w:line="240" w:lineRule="auto"/>
              <w:rPr>
                <w:rFonts w:ascii="Garamond" w:eastAsia="Times New Roman" w:hAnsi="Garamond" w:cs="Times New Roman"/>
                <w:color w:val="000000"/>
              </w:rPr>
            </w:pPr>
            <w:r w:rsidRPr="000A6DE6">
              <w:rPr>
                <w:rFonts w:ascii="Garamond" w:eastAsia="Times New Roman" w:hAnsi="Garamond" w:cs="Times New Roman"/>
                <w:color w:val="000000"/>
              </w:rPr>
              <w:t> </w:t>
            </w:r>
          </w:p>
        </w:tc>
        <w:tc>
          <w:tcPr>
            <w:tcW w:w="1980" w:type="dxa"/>
            <w:tcBorders>
              <w:top w:val="single" w:sz="4" w:space="0" w:color="auto"/>
              <w:left w:val="nil"/>
              <w:bottom w:val="nil"/>
              <w:right w:val="single" w:sz="4" w:space="0" w:color="auto"/>
            </w:tcBorders>
            <w:shd w:val="clear" w:color="000000" w:fill="0070C0"/>
            <w:noWrap/>
            <w:vAlign w:val="bottom"/>
            <w:hideMark/>
          </w:tcPr>
          <w:p w:rsidR="00AE6E2D" w:rsidRPr="000A6DE6" w:rsidRDefault="00AE6E2D" w:rsidP="00460A22">
            <w:pPr>
              <w:spacing w:after="0" w:line="240" w:lineRule="auto"/>
              <w:rPr>
                <w:rFonts w:ascii="Garamond" w:eastAsia="Times New Roman" w:hAnsi="Garamond" w:cs="Times New Roman"/>
                <w:color w:val="000000"/>
              </w:rPr>
            </w:pPr>
            <w:r w:rsidRPr="000A6DE6">
              <w:rPr>
                <w:rFonts w:ascii="Garamond" w:eastAsia="Times New Roman" w:hAnsi="Garamond" w:cs="Times New Roman"/>
                <w:color w:val="000000"/>
              </w:rPr>
              <w:t> </w:t>
            </w:r>
          </w:p>
        </w:tc>
      </w:tr>
      <w:tr w:rsidR="00AE6E2D" w:rsidRPr="000A6DE6" w:rsidTr="00460A22">
        <w:trPr>
          <w:trHeight w:val="398"/>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6E2D" w:rsidRPr="000A6DE6" w:rsidRDefault="00AE6E2D" w:rsidP="00460A22">
            <w:pPr>
              <w:spacing w:after="0" w:line="240" w:lineRule="auto"/>
              <w:rPr>
                <w:rFonts w:ascii="Garamond" w:eastAsia="Times New Roman" w:hAnsi="Garamond" w:cs="Times New Roman"/>
                <w:b/>
                <w:bCs/>
                <w:color w:val="000000"/>
              </w:rPr>
            </w:pPr>
            <w:r w:rsidRPr="000A6DE6">
              <w:rPr>
                <w:rFonts w:ascii="Garamond" w:eastAsia="Times New Roman" w:hAnsi="Garamond" w:cs="Times New Roman"/>
                <w:b/>
                <w:bCs/>
                <w:color w:val="000000"/>
              </w:rPr>
              <w:t>Index</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6E2D" w:rsidRPr="000A6DE6" w:rsidRDefault="00AE6E2D" w:rsidP="00460A22">
            <w:pPr>
              <w:spacing w:after="0" w:line="240" w:lineRule="auto"/>
              <w:jc w:val="center"/>
              <w:rPr>
                <w:rFonts w:ascii="Garamond" w:eastAsia="Times New Roman" w:hAnsi="Garamond" w:cs="Times New Roman"/>
                <w:b/>
                <w:bCs/>
                <w:color w:val="000000"/>
              </w:rPr>
            </w:pPr>
            <w:r w:rsidRPr="000A6DE6">
              <w:rPr>
                <w:rFonts w:ascii="Garamond" w:eastAsia="Times New Roman" w:hAnsi="Garamond" w:cs="Times New Roman"/>
                <w:b/>
                <w:bCs/>
                <w:color w:val="000000"/>
              </w:rPr>
              <w:t>% Change Week-to-Date</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rsidR="00AE6E2D" w:rsidRPr="000A6DE6" w:rsidRDefault="00AE6E2D" w:rsidP="00460A22">
            <w:pPr>
              <w:spacing w:after="0" w:line="240" w:lineRule="auto"/>
              <w:jc w:val="center"/>
              <w:rPr>
                <w:rFonts w:ascii="Garamond" w:eastAsia="Times New Roman" w:hAnsi="Garamond" w:cs="Times New Roman"/>
                <w:b/>
                <w:bCs/>
                <w:color w:val="000000"/>
              </w:rPr>
            </w:pPr>
            <w:r w:rsidRPr="000A6DE6">
              <w:rPr>
                <w:rFonts w:ascii="Garamond" w:eastAsia="Times New Roman" w:hAnsi="Garamond" w:cs="Times New Roman"/>
                <w:b/>
                <w:bCs/>
                <w:color w:val="000000"/>
              </w:rPr>
              <w:t>% Change Year-to-Date</w:t>
            </w:r>
          </w:p>
        </w:tc>
      </w:tr>
      <w:tr w:rsidR="00AE6E2D" w:rsidRPr="000A6DE6" w:rsidTr="00460A22">
        <w:trPr>
          <w:trHeight w:val="353"/>
        </w:trPr>
        <w:tc>
          <w:tcPr>
            <w:tcW w:w="2178" w:type="dxa"/>
            <w:tcBorders>
              <w:top w:val="nil"/>
              <w:left w:val="single" w:sz="4" w:space="0" w:color="auto"/>
              <w:bottom w:val="nil"/>
              <w:right w:val="single" w:sz="4" w:space="0" w:color="auto"/>
            </w:tcBorders>
            <w:shd w:val="clear" w:color="auto" w:fill="auto"/>
            <w:noWrap/>
            <w:vAlign w:val="bottom"/>
            <w:hideMark/>
          </w:tcPr>
          <w:p w:rsidR="00AE6E2D" w:rsidRPr="000A6DE6" w:rsidRDefault="00AE6E2D" w:rsidP="00460A22">
            <w:pPr>
              <w:spacing w:after="0" w:line="220" w:lineRule="exact"/>
              <w:rPr>
                <w:rFonts w:ascii="Garamond" w:eastAsia="Times New Roman" w:hAnsi="Garamond" w:cs="Times New Roman"/>
                <w:color w:val="000000"/>
              </w:rPr>
            </w:pPr>
            <w:r w:rsidRPr="000A6DE6">
              <w:rPr>
                <w:rFonts w:ascii="Garamond" w:eastAsia="Times New Roman" w:hAnsi="Garamond" w:cs="Times New Roman"/>
                <w:color w:val="000000"/>
              </w:rPr>
              <w:t>DJIA</w:t>
            </w:r>
          </w:p>
        </w:tc>
        <w:tc>
          <w:tcPr>
            <w:tcW w:w="2070" w:type="dxa"/>
            <w:tcBorders>
              <w:top w:val="nil"/>
              <w:left w:val="single" w:sz="4" w:space="0" w:color="auto"/>
              <w:bottom w:val="nil"/>
              <w:right w:val="single" w:sz="4" w:space="0" w:color="auto"/>
            </w:tcBorders>
            <w:shd w:val="clear" w:color="auto" w:fill="auto"/>
            <w:noWrap/>
            <w:vAlign w:val="bottom"/>
            <w:hideMark/>
          </w:tcPr>
          <w:p w:rsidR="00AE6E2D" w:rsidRPr="000A6DE6" w:rsidRDefault="00472A54" w:rsidP="00460A22">
            <w:pPr>
              <w:spacing w:after="0" w:line="220" w:lineRule="exact"/>
              <w:jc w:val="center"/>
              <w:rPr>
                <w:rFonts w:ascii="Garamond" w:eastAsia="Times New Roman" w:hAnsi="Garamond" w:cs="Times New Roman"/>
                <w:color w:val="000000"/>
              </w:rPr>
            </w:pPr>
            <w:r>
              <w:rPr>
                <w:rFonts w:ascii="Garamond" w:eastAsia="Times New Roman" w:hAnsi="Garamond" w:cs="Times New Roman"/>
                <w:color w:val="000000"/>
              </w:rPr>
              <w:t>-2.29</w:t>
            </w:r>
            <w:r w:rsidR="00AE6E2D" w:rsidRPr="000A6DE6">
              <w:rPr>
                <w:rFonts w:ascii="Garamond" w:eastAsia="Times New Roman" w:hAnsi="Garamond" w:cs="Times New Roman"/>
                <w:color w:val="000000"/>
              </w:rPr>
              <w:t>%</w:t>
            </w:r>
          </w:p>
        </w:tc>
        <w:tc>
          <w:tcPr>
            <w:tcW w:w="1980" w:type="dxa"/>
            <w:tcBorders>
              <w:top w:val="nil"/>
              <w:left w:val="nil"/>
              <w:bottom w:val="nil"/>
              <w:right w:val="single" w:sz="4" w:space="0" w:color="auto"/>
            </w:tcBorders>
            <w:shd w:val="clear" w:color="auto" w:fill="auto"/>
            <w:noWrap/>
            <w:vAlign w:val="bottom"/>
            <w:hideMark/>
          </w:tcPr>
          <w:p w:rsidR="00AE6E2D" w:rsidRPr="000A6DE6" w:rsidRDefault="00472A54" w:rsidP="00460A22">
            <w:pPr>
              <w:spacing w:after="0" w:line="220" w:lineRule="exact"/>
              <w:jc w:val="center"/>
              <w:rPr>
                <w:rFonts w:ascii="Garamond" w:eastAsia="Times New Roman" w:hAnsi="Garamond" w:cs="Times New Roman"/>
                <w:color w:val="000000"/>
              </w:rPr>
            </w:pPr>
            <w:r>
              <w:rPr>
                <w:rFonts w:ascii="Garamond" w:eastAsia="Times New Roman" w:hAnsi="Garamond" w:cs="Times New Roman"/>
                <w:color w:val="000000"/>
              </w:rPr>
              <w:t>-0.62</w:t>
            </w:r>
            <w:r w:rsidR="00AE6E2D" w:rsidRPr="000A6DE6">
              <w:rPr>
                <w:rFonts w:ascii="Garamond" w:eastAsia="Times New Roman" w:hAnsi="Garamond" w:cs="Times New Roman"/>
                <w:color w:val="000000"/>
              </w:rPr>
              <w:t>%</w:t>
            </w:r>
          </w:p>
        </w:tc>
      </w:tr>
      <w:tr w:rsidR="00AE6E2D" w:rsidRPr="000A6DE6" w:rsidTr="00460A22">
        <w:trPr>
          <w:trHeight w:val="345"/>
        </w:trPr>
        <w:tc>
          <w:tcPr>
            <w:tcW w:w="2178" w:type="dxa"/>
            <w:tcBorders>
              <w:top w:val="nil"/>
              <w:left w:val="single" w:sz="4" w:space="0" w:color="auto"/>
              <w:bottom w:val="nil"/>
              <w:right w:val="single" w:sz="4" w:space="0" w:color="auto"/>
            </w:tcBorders>
            <w:shd w:val="clear" w:color="auto" w:fill="auto"/>
            <w:noWrap/>
            <w:vAlign w:val="bottom"/>
            <w:hideMark/>
          </w:tcPr>
          <w:p w:rsidR="00AE6E2D" w:rsidRPr="000A6DE6" w:rsidRDefault="00AE6E2D" w:rsidP="00460A22">
            <w:pPr>
              <w:spacing w:after="0" w:line="220" w:lineRule="exact"/>
              <w:rPr>
                <w:rFonts w:ascii="Garamond" w:eastAsia="Times New Roman" w:hAnsi="Garamond" w:cs="Times New Roman"/>
                <w:color w:val="000000"/>
              </w:rPr>
            </w:pPr>
            <w:r w:rsidRPr="000A6DE6">
              <w:rPr>
                <w:rFonts w:ascii="Garamond" w:eastAsia="Times New Roman" w:hAnsi="Garamond" w:cs="Times New Roman"/>
                <w:color w:val="000000"/>
              </w:rPr>
              <w:t>S&amp;P 500</w:t>
            </w:r>
          </w:p>
        </w:tc>
        <w:tc>
          <w:tcPr>
            <w:tcW w:w="2070" w:type="dxa"/>
            <w:tcBorders>
              <w:top w:val="nil"/>
              <w:left w:val="single" w:sz="4" w:space="0" w:color="auto"/>
              <w:bottom w:val="nil"/>
              <w:right w:val="single" w:sz="4" w:space="0" w:color="auto"/>
            </w:tcBorders>
            <w:shd w:val="clear" w:color="auto" w:fill="auto"/>
            <w:noWrap/>
            <w:vAlign w:val="bottom"/>
            <w:hideMark/>
          </w:tcPr>
          <w:p w:rsidR="00AE6E2D" w:rsidRPr="000A6DE6" w:rsidRDefault="00472A54" w:rsidP="00460A22">
            <w:pPr>
              <w:spacing w:after="0" w:line="220" w:lineRule="exact"/>
              <w:jc w:val="center"/>
              <w:rPr>
                <w:rFonts w:ascii="Garamond" w:eastAsia="Times New Roman" w:hAnsi="Garamond" w:cs="Times New Roman"/>
                <w:color w:val="000000"/>
              </w:rPr>
            </w:pPr>
            <w:r>
              <w:rPr>
                <w:rFonts w:ascii="Garamond" w:eastAsia="Times New Roman" w:hAnsi="Garamond" w:cs="Times New Roman"/>
                <w:color w:val="000000"/>
              </w:rPr>
              <w:t>-2.23</w:t>
            </w:r>
            <w:r w:rsidR="00AE6E2D" w:rsidRPr="000A6DE6">
              <w:rPr>
                <w:rFonts w:ascii="Garamond" w:eastAsia="Times New Roman" w:hAnsi="Garamond" w:cs="Times New Roman"/>
                <w:color w:val="000000"/>
              </w:rPr>
              <w:t>%</w:t>
            </w:r>
          </w:p>
        </w:tc>
        <w:tc>
          <w:tcPr>
            <w:tcW w:w="1980" w:type="dxa"/>
            <w:tcBorders>
              <w:top w:val="nil"/>
              <w:left w:val="nil"/>
              <w:bottom w:val="nil"/>
              <w:right w:val="single" w:sz="4" w:space="0" w:color="auto"/>
            </w:tcBorders>
            <w:shd w:val="clear" w:color="auto" w:fill="auto"/>
            <w:noWrap/>
            <w:vAlign w:val="bottom"/>
            <w:hideMark/>
          </w:tcPr>
          <w:p w:rsidR="00AE6E2D" w:rsidRPr="000A6DE6" w:rsidRDefault="00472A54" w:rsidP="00460A22">
            <w:pPr>
              <w:spacing w:after="0" w:line="220" w:lineRule="exact"/>
              <w:jc w:val="center"/>
              <w:rPr>
                <w:rFonts w:ascii="Garamond" w:eastAsia="Times New Roman" w:hAnsi="Garamond" w:cs="Times New Roman"/>
                <w:color w:val="000000"/>
              </w:rPr>
            </w:pPr>
            <w:r>
              <w:rPr>
                <w:rFonts w:ascii="Garamond" w:eastAsia="Times New Roman" w:hAnsi="Garamond" w:cs="Times New Roman"/>
                <w:color w:val="000000"/>
              </w:rPr>
              <w:t>0.10</w:t>
            </w:r>
            <w:r w:rsidR="00AE6E2D" w:rsidRPr="000A6DE6">
              <w:rPr>
                <w:rFonts w:ascii="Garamond" w:eastAsia="Times New Roman" w:hAnsi="Garamond" w:cs="Times New Roman"/>
                <w:color w:val="000000"/>
              </w:rPr>
              <w:t>%</w:t>
            </w:r>
          </w:p>
        </w:tc>
      </w:tr>
      <w:tr w:rsidR="00AE6E2D" w:rsidRPr="000A6DE6" w:rsidTr="00460A22">
        <w:trPr>
          <w:trHeight w:val="363"/>
        </w:trPr>
        <w:tc>
          <w:tcPr>
            <w:tcW w:w="2178" w:type="dxa"/>
            <w:tcBorders>
              <w:top w:val="nil"/>
              <w:left w:val="single" w:sz="4" w:space="0" w:color="auto"/>
              <w:bottom w:val="nil"/>
              <w:right w:val="single" w:sz="4" w:space="0" w:color="auto"/>
            </w:tcBorders>
            <w:shd w:val="clear" w:color="auto" w:fill="auto"/>
            <w:noWrap/>
            <w:vAlign w:val="bottom"/>
            <w:hideMark/>
          </w:tcPr>
          <w:p w:rsidR="00AE6E2D" w:rsidRPr="000A6DE6" w:rsidRDefault="00AE6E2D" w:rsidP="00460A22">
            <w:pPr>
              <w:spacing w:after="0" w:line="220" w:lineRule="exact"/>
              <w:rPr>
                <w:rFonts w:ascii="Garamond" w:eastAsia="Times New Roman" w:hAnsi="Garamond" w:cs="Times New Roman"/>
                <w:color w:val="000000"/>
              </w:rPr>
            </w:pPr>
            <w:r w:rsidRPr="000A6DE6">
              <w:rPr>
                <w:rFonts w:ascii="Garamond" w:eastAsia="Times New Roman" w:hAnsi="Garamond" w:cs="Times New Roman"/>
                <w:color w:val="000000"/>
              </w:rPr>
              <w:t>NASDAQ Composite</w:t>
            </w:r>
          </w:p>
        </w:tc>
        <w:tc>
          <w:tcPr>
            <w:tcW w:w="2070" w:type="dxa"/>
            <w:tcBorders>
              <w:top w:val="nil"/>
              <w:left w:val="single" w:sz="4" w:space="0" w:color="auto"/>
              <w:bottom w:val="nil"/>
              <w:right w:val="single" w:sz="4" w:space="0" w:color="auto"/>
            </w:tcBorders>
            <w:shd w:val="clear" w:color="auto" w:fill="auto"/>
            <w:noWrap/>
            <w:vAlign w:val="bottom"/>
            <w:hideMark/>
          </w:tcPr>
          <w:p w:rsidR="00AE6E2D" w:rsidRPr="000A6DE6" w:rsidRDefault="00630D45" w:rsidP="00756F06">
            <w:pPr>
              <w:spacing w:after="0" w:line="220" w:lineRule="exact"/>
              <w:jc w:val="center"/>
              <w:rPr>
                <w:rFonts w:ascii="Garamond" w:eastAsia="Times New Roman" w:hAnsi="Garamond" w:cs="Times New Roman"/>
                <w:color w:val="000000"/>
              </w:rPr>
            </w:pPr>
            <w:r>
              <w:rPr>
                <w:rFonts w:ascii="Garamond" w:eastAsia="Times New Roman" w:hAnsi="Garamond" w:cs="Times New Roman"/>
                <w:color w:val="000000"/>
              </w:rPr>
              <w:t>-2.69</w:t>
            </w:r>
            <w:r w:rsidR="00AE6E2D" w:rsidRPr="000A6DE6">
              <w:rPr>
                <w:rFonts w:ascii="Garamond" w:eastAsia="Times New Roman" w:hAnsi="Garamond" w:cs="Times New Roman"/>
                <w:color w:val="000000"/>
              </w:rPr>
              <w:t>%</w:t>
            </w:r>
          </w:p>
        </w:tc>
        <w:tc>
          <w:tcPr>
            <w:tcW w:w="1980" w:type="dxa"/>
            <w:tcBorders>
              <w:top w:val="nil"/>
              <w:left w:val="nil"/>
              <w:bottom w:val="nil"/>
              <w:right w:val="single" w:sz="4" w:space="0" w:color="auto"/>
            </w:tcBorders>
            <w:shd w:val="clear" w:color="auto" w:fill="auto"/>
            <w:noWrap/>
            <w:vAlign w:val="bottom"/>
            <w:hideMark/>
          </w:tcPr>
          <w:p w:rsidR="00AE6E2D" w:rsidRPr="000A6DE6" w:rsidRDefault="00630D45" w:rsidP="00460A22">
            <w:pPr>
              <w:spacing w:after="0" w:line="220" w:lineRule="exact"/>
              <w:jc w:val="center"/>
              <w:rPr>
                <w:rFonts w:ascii="Garamond" w:eastAsia="Times New Roman" w:hAnsi="Garamond" w:cs="Times New Roman"/>
                <w:color w:val="000000"/>
              </w:rPr>
            </w:pPr>
            <w:r>
              <w:rPr>
                <w:rFonts w:ascii="Garamond" w:eastAsia="Times New Roman" w:hAnsi="Garamond" w:cs="Times New Roman"/>
                <w:color w:val="000000"/>
              </w:rPr>
              <w:t>3.28</w:t>
            </w:r>
            <w:r w:rsidR="00AE6E2D" w:rsidRPr="000A6DE6">
              <w:rPr>
                <w:rFonts w:ascii="Garamond" w:eastAsia="Times New Roman" w:hAnsi="Garamond" w:cs="Times New Roman"/>
                <w:color w:val="000000"/>
              </w:rPr>
              <w:t>%</w:t>
            </w:r>
          </w:p>
        </w:tc>
      </w:tr>
      <w:tr w:rsidR="00AE6E2D" w:rsidRPr="000A6DE6" w:rsidTr="00460A22">
        <w:trPr>
          <w:trHeight w:val="363"/>
        </w:trPr>
        <w:tc>
          <w:tcPr>
            <w:tcW w:w="2178" w:type="dxa"/>
            <w:tcBorders>
              <w:top w:val="nil"/>
              <w:left w:val="single" w:sz="4" w:space="0" w:color="auto"/>
              <w:right w:val="single" w:sz="4" w:space="0" w:color="auto"/>
            </w:tcBorders>
            <w:shd w:val="clear" w:color="auto" w:fill="auto"/>
            <w:noWrap/>
            <w:vAlign w:val="bottom"/>
            <w:hideMark/>
          </w:tcPr>
          <w:p w:rsidR="00AE6E2D" w:rsidRPr="000A6DE6" w:rsidRDefault="00AE6E2D" w:rsidP="00460A22">
            <w:pPr>
              <w:spacing w:after="0" w:line="220" w:lineRule="exact"/>
              <w:rPr>
                <w:rFonts w:ascii="Garamond" w:eastAsia="Times New Roman" w:hAnsi="Garamond" w:cs="Times New Roman"/>
                <w:color w:val="000000"/>
              </w:rPr>
            </w:pPr>
            <w:r w:rsidRPr="000A6DE6">
              <w:rPr>
                <w:rFonts w:ascii="Garamond" w:eastAsia="Times New Roman" w:hAnsi="Garamond" w:cs="Times New Roman"/>
                <w:color w:val="000000"/>
              </w:rPr>
              <w:t>Russell 2000</w:t>
            </w:r>
          </w:p>
        </w:tc>
        <w:tc>
          <w:tcPr>
            <w:tcW w:w="2070" w:type="dxa"/>
            <w:tcBorders>
              <w:top w:val="nil"/>
              <w:left w:val="single" w:sz="4" w:space="0" w:color="auto"/>
              <w:right w:val="single" w:sz="4" w:space="0" w:color="auto"/>
            </w:tcBorders>
            <w:shd w:val="clear" w:color="auto" w:fill="auto"/>
            <w:noWrap/>
            <w:vAlign w:val="bottom"/>
            <w:hideMark/>
          </w:tcPr>
          <w:p w:rsidR="00AE6E2D" w:rsidRPr="000A6DE6" w:rsidRDefault="00630D45" w:rsidP="00756F06">
            <w:pPr>
              <w:spacing w:after="0" w:line="220" w:lineRule="exact"/>
              <w:jc w:val="center"/>
              <w:rPr>
                <w:rFonts w:ascii="Garamond" w:eastAsia="Times New Roman" w:hAnsi="Garamond" w:cs="Times New Roman"/>
                <w:color w:val="000000"/>
              </w:rPr>
            </w:pPr>
            <w:r>
              <w:rPr>
                <w:rFonts w:ascii="Garamond" w:eastAsia="Times New Roman" w:hAnsi="Garamond" w:cs="Times New Roman"/>
                <w:color w:val="000000"/>
              </w:rPr>
              <w:t>-2.05</w:t>
            </w:r>
            <w:r w:rsidR="00AE6E2D" w:rsidRPr="000A6DE6">
              <w:rPr>
                <w:rFonts w:ascii="Garamond" w:eastAsia="Times New Roman" w:hAnsi="Garamond" w:cs="Times New Roman"/>
                <w:color w:val="000000"/>
              </w:rPr>
              <w:t>%</w:t>
            </w:r>
          </w:p>
        </w:tc>
        <w:tc>
          <w:tcPr>
            <w:tcW w:w="1980" w:type="dxa"/>
            <w:tcBorders>
              <w:top w:val="nil"/>
              <w:left w:val="nil"/>
              <w:right w:val="single" w:sz="4" w:space="0" w:color="auto"/>
            </w:tcBorders>
            <w:shd w:val="clear" w:color="auto" w:fill="auto"/>
            <w:noWrap/>
            <w:vAlign w:val="bottom"/>
            <w:hideMark/>
          </w:tcPr>
          <w:p w:rsidR="00AE6E2D" w:rsidRPr="000A6DE6" w:rsidRDefault="00630D45" w:rsidP="00460A22">
            <w:pPr>
              <w:spacing w:after="0" w:line="220" w:lineRule="exact"/>
              <w:jc w:val="center"/>
              <w:rPr>
                <w:rFonts w:ascii="Garamond" w:eastAsia="Times New Roman" w:hAnsi="Garamond" w:cs="Times New Roman"/>
                <w:color w:val="000000"/>
              </w:rPr>
            </w:pPr>
            <w:r>
              <w:rPr>
                <w:rFonts w:ascii="Garamond" w:eastAsia="Times New Roman" w:hAnsi="Garamond" w:cs="Times New Roman"/>
                <w:color w:val="000000"/>
              </w:rPr>
              <w:t>2.96</w:t>
            </w:r>
            <w:r w:rsidR="00AE6E2D" w:rsidRPr="000A6DE6">
              <w:rPr>
                <w:rFonts w:ascii="Garamond" w:eastAsia="Times New Roman" w:hAnsi="Garamond" w:cs="Times New Roman"/>
                <w:color w:val="000000"/>
              </w:rPr>
              <w:t>%</w:t>
            </w:r>
          </w:p>
        </w:tc>
      </w:tr>
      <w:tr w:rsidR="00AE6E2D" w:rsidRPr="000A6DE6" w:rsidTr="00460A22">
        <w:trPr>
          <w:trHeight w:val="300"/>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rsidR="00AE6E2D" w:rsidRPr="000A6DE6" w:rsidRDefault="00AE6E2D" w:rsidP="00460A22">
            <w:pPr>
              <w:spacing w:after="0" w:line="220" w:lineRule="exact"/>
              <w:rPr>
                <w:rFonts w:ascii="Garamond" w:eastAsia="Times New Roman" w:hAnsi="Garamond" w:cs="Times New Roman"/>
                <w:color w:val="000000"/>
              </w:rPr>
            </w:pPr>
            <w:r w:rsidRPr="000A6DE6">
              <w:rPr>
                <w:rFonts w:ascii="Garamond" w:eastAsia="Times New Roman" w:hAnsi="Garamond" w:cs="Times New Roman"/>
                <w:color w:val="000000"/>
              </w:rPr>
              <w:t>VIX</w:t>
            </w: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rsidR="00AE6E2D" w:rsidRPr="000A6DE6" w:rsidRDefault="00630D45" w:rsidP="00460A22">
            <w:pPr>
              <w:spacing w:after="0" w:line="220" w:lineRule="exact"/>
              <w:jc w:val="center"/>
              <w:rPr>
                <w:rFonts w:ascii="Garamond" w:eastAsia="Times New Roman" w:hAnsi="Garamond" w:cs="Times New Roman"/>
                <w:color w:val="000000"/>
              </w:rPr>
            </w:pPr>
            <w:r>
              <w:rPr>
                <w:rFonts w:ascii="Garamond" w:eastAsia="Times New Roman" w:hAnsi="Garamond" w:cs="Times New Roman"/>
                <w:color w:val="000000"/>
              </w:rPr>
              <w:t>15.75</w:t>
            </w:r>
            <w:r w:rsidR="00AE6E2D" w:rsidRPr="000A6DE6">
              <w:rPr>
                <w:rFonts w:ascii="Garamond" w:eastAsia="Times New Roman" w:hAnsi="Garamond" w:cs="Times New Roman"/>
                <w:color w:val="000000"/>
              </w:rPr>
              <w:t>%</w:t>
            </w:r>
          </w:p>
        </w:tc>
        <w:tc>
          <w:tcPr>
            <w:tcW w:w="1980" w:type="dxa"/>
            <w:tcBorders>
              <w:top w:val="nil"/>
              <w:left w:val="nil"/>
              <w:bottom w:val="single" w:sz="4" w:space="0" w:color="auto"/>
              <w:right w:val="single" w:sz="4" w:space="0" w:color="auto"/>
            </w:tcBorders>
            <w:shd w:val="clear" w:color="auto" w:fill="auto"/>
            <w:noWrap/>
            <w:vAlign w:val="bottom"/>
            <w:hideMark/>
          </w:tcPr>
          <w:p w:rsidR="00AE6E2D" w:rsidRPr="000A6DE6" w:rsidRDefault="00D47D5B" w:rsidP="00630D45">
            <w:pPr>
              <w:spacing w:after="0" w:line="220" w:lineRule="exact"/>
              <w:jc w:val="center"/>
              <w:rPr>
                <w:rFonts w:ascii="Garamond" w:eastAsia="Times New Roman" w:hAnsi="Garamond" w:cs="Times New Roman"/>
                <w:color w:val="000000"/>
              </w:rPr>
            </w:pPr>
            <w:r>
              <w:rPr>
                <w:rFonts w:ascii="Garamond" w:eastAsia="Times New Roman" w:hAnsi="Garamond" w:cs="Times New Roman"/>
                <w:color w:val="000000"/>
              </w:rPr>
              <w:t>-</w:t>
            </w:r>
            <w:r w:rsidR="00630D45">
              <w:rPr>
                <w:rFonts w:ascii="Garamond" w:eastAsia="Times New Roman" w:hAnsi="Garamond" w:cs="Times New Roman"/>
                <w:color w:val="000000"/>
              </w:rPr>
              <w:t>21.51</w:t>
            </w:r>
            <w:r w:rsidR="00AE6E2D" w:rsidRPr="000A6DE6">
              <w:rPr>
                <w:rFonts w:ascii="Garamond" w:eastAsia="Times New Roman" w:hAnsi="Garamond" w:cs="Times New Roman"/>
                <w:color w:val="000000"/>
              </w:rPr>
              <w:t>%</w:t>
            </w:r>
          </w:p>
        </w:tc>
      </w:tr>
    </w:tbl>
    <w:p w:rsidR="00926DA1" w:rsidRPr="000A6DE6" w:rsidRDefault="00F95E4E" w:rsidP="00926DA1">
      <w:pPr>
        <w:contextualSpacing/>
        <w:jc w:val="both"/>
        <w:rPr>
          <w:rFonts w:ascii="Garamond" w:hAnsi="Garamond"/>
        </w:rPr>
      </w:pPr>
      <w:r w:rsidRPr="000A6DE6">
        <w:rPr>
          <w:rFonts w:ascii="Garamond" w:hAnsi="Garamond"/>
        </w:rPr>
        <w:t>This past week,</w:t>
      </w:r>
      <w:r w:rsidR="00E77FF4" w:rsidRPr="000A6DE6">
        <w:rPr>
          <w:rFonts w:ascii="Garamond" w:hAnsi="Garamond"/>
        </w:rPr>
        <w:t xml:space="preserve"> all major U.S. indices </w:t>
      </w:r>
      <w:r w:rsidR="00630D45">
        <w:rPr>
          <w:rFonts w:ascii="Garamond" w:hAnsi="Garamond"/>
        </w:rPr>
        <w:t>declined</w:t>
      </w:r>
      <w:r w:rsidR="00E77FF4" w:rsidRPr="000A6DE6">
        <w:rPr>
          <w:rFonts w:ascii="Garamond" w:hAnsi="Garamond"/>
        </w:rPr>
        <w:t xml:space="preserve"> on a weekly </w:t>
      </w:r>
      <w:r w:rsidR="00630D45">
        <w:rPr>
          <w:rFonts w:ascii="Garamond" w:hAnsi="Garamond"/>
        </w:rPr>
        <w:t>basis</w:t>
      </w:r>
      <w:r w:rsidR="00310057">
        <w:rPr>
          <w:rFonts w:ascii="Garamond" w:hAnsi="Garamond"/>
        </w:rPr>
        <w:t xml:space="preserve"> due to unsatisfactory economic data that suggests a slowdown in economic growth of the U.S. economy. In addition, lower expected earnings growth in advance of the upcoming quarterly earnings season had a negative impact on the market. </w:t>
      </w:r>
      <w:r w:rsidRPr="000A6DE6">
        <w:rPr>
          <w:rFonts w:ascii="Garamond" w:hAnsi="Garamond"/>
        </w:rPr>
        <w:t xml:space="preserve">In effect, the Dow Jones Industrial Average and the NASDAQ Composite </w:t>
      </w:r>
      <w:r w:rsidR="00310057">
        <w:rPr>
          <w:rFonts w:ascii="Garamond" w:hAnsi="Garamond"/>
        </w:rPr>
        <w:t>de</w:t>
      </w:r>
      <w:r w:rsidR="00992714">
        <w:rPr>
          <w:rFonts w:ascii="Garamond" w:hAnsi="Garamond"/>
        </w:rPr>
        <w:t>creased</w:t>
      </w:r>
      <w:r w:rsidR="00EF1EF1">
        <w:rPr>
          <w:rFonts w:ascii="Garamond" w:hAnsi="Garamond"/>
        </w:rPr>
        <w:t xml:space="preserve"> on a weekly basis by</w:t>
      </w:r>
      <w:r w:rsidRPr="000A6DE6">
        <w:rPr>
          <w:rFonts w:ascii="Garamond" w:hAnsi="Garamond"/>
        </w:rPr>
        <w:t xml:space="preserve"> </w:t>
      </w:r>
      <w:r w:rsidR="00310057">
        <w:rPr>
          <w:rFonts w:ascii="Garamond" w:hAnsi="Garamond"/>
        </w:rPr>
        <w:t>2.29</w:t>
      </w:r>
      <w:r w:rsidR="00EF1EF1">
        <w:rPr>
          <w:rFonts w:ascii="Garamond" w:hAnsi="Garamond"/>
        </w:rPr>
        <w:t>%</w:t>
      </w:r>
      <w:r w:rsidRPr="000A6DE6">
        <w:rPr>
          <w:rFonts w:ascii="Garamond" w:hAnsi="Garamond"/>
        </w:rPr>
        <w:t xml:space="preserve"> and </w:t>
      </w:r>
      <w:r w:rsidR="00310057">
        <w:rPr>
          <w:rFonts w:ascii="Garamond" w:hAnsi="Garamond"/>
        </w:rPr>
        <w:t>2.69</w:t>
      </w:r>
      <w:r w:rsidR="00EF1EF1">
        <w:rPr>
          <w:rFonts w:ascii="Garamond" w:hAnsi="Garamond"/>
        </w:rPr>
        <w:t>%</w:t>
      </w:r>
      <w:r w:rsidRPr="000A6DE6">
        <w:rPr>
          <w:rFonts w:ascii="Garamond" w:hAnsi="Garamond"/>
        </w:rPr>
        <w:t xml:space="preserve"> respectively</w:t>
      </w:r>
      <w:r w:rsidR="0094546A" w:rsidRPr="000A6DE6">
        <w:rPr>
          <w:rFonts w:ascii="Garamond" w:hAnsi="Garamond"/>
        </w:rPr>
        <w:t>,</w:t>
      </w:r>
      <w:r w:rsidRPr="000A6DE6">
        <w:rPr>
          <w:rFonts w:ascii="Garamond" w:hAnsi="Garamond"/>
        </w:rPr>
        <w:t xml:space="preserve"> while the </w:t>
      </w:r>
      <w:r w:rsidR="0094546A" w:rsidRPr="000A6DE6">
        <w:rPr>
          <w:rFonts w:ascii="Garamond" w:hAnsi="Garamond"/>
        </w:rPr>
        <w:t xml:space="preserve">S&amp;P 500 </w:t>
      </w:r>
      <w:r w:rsidR="00310057">
        <w:rPr>
          <w:rFonts w:ascii="Garamond" w:hAnsi="Garamond"/>
        </w:rPr>
        <w:t>declined</w:t>
      </w:r>
      <w:r w:rsidR="0094546A" w:rsidRPr="000A6DE6">
        <w:rPr>
          <w:rFonts w:ascii="Garamond" w:hAnsi="Garamond"/>
        </w:rPr>
        <w:t xml:space="preserve"> by </w:t>
      </w:r>
      <w:r w:rsidR="00310057">
        <w:rPr>
          <w:rFonts w:ascii="Garamond" w:hAnsi="Garamond"/>
        </w:rPr>
        <w:t>2.23</w:t>
      </w:r>
      <w:r w:rsidR="0094546A" w:rsidRPr="000A6DE6">
        <w:rPr>
          <w:rFonts w:ascii="Garamond" w:hAnsi="Garamond"/>
        </w:rPr>
        <w:t xml:space="preserve">% during the last week. Small cap stocks measured by the Russell 2000 index </w:t>
      </w:r>
      <w:r w:rsidR="009F32BF">
        <w:rPr>
          <w:rFonts w:ascii="Garamond" w:hAnsi="Garamond"/>
        </w:rPr>
        <w:t>yield</w:t>
      </w:r>
      <w:r w:rsidR="00992714">
        <w:rPr>
          <w:rFonts w:ascii="Garamond" w:hAnsi="Garamond"/>
        </w:rPr>
        <w:t xml:space="preserve">ed </w:t>
      </w:r>
      <w:r w:rsidR="009F32BF">
        <w:rPr>
          <w:rFonts w:ascii="Garamond" w:hAnsi="Garamond"/>
        </w:rPr>
        <w:t>negati</w:t>
      </w:r>
      <w:r w:rsidR="00992714">
        <w:rPr>
          <w:rFonts w:ascii="Garamond" w:hAnsi="Garamond"/>
        </w:rPr>
        <w:t>ve</w:t>
      </w:r>
      <w:r w:rsidR="00AC1B73">
        <w:rPr>
          <w:rFonts w:ascii="Garamond" w:hAnsi="Garamond"/>
        </w:rPr>
        <w:t xml:space="preserve"> </w:t>
      </w:r>
      <w:r w:rsidR="0094546A" w:rsidRPr="000A6DE6">
        <w:rPr>
          <w:rFonts w:ascii="Garamond" w:hAnsi="Garamond"/>
        </w:rPr>
        <w:t xml:space="preserve">returns of </w:t>
      </w:r>
      <w:r w:rsidR="009F32BF">
        <w:rPr>
          <w:rFonts w:ascii="Garamond" w:hAnsi="Garamond"/>
        </w:rPr>
        <w:t>2.05</w:t>
      </w:r>
      <w:r w:rsidR="0094546A" w:rsidRPr="000A6DE6">
        <w:rPr>
          <w:rFonts w:ascii="Garamond" w:hAnsi="Garamond"/>
        </w:rPr>
        <w:t>%</w:t>
      </w:r>
      <w:r w:rsidR="00992714">
        <w:rPr>
          <w:rFonts w:ascii="Garamond" w:hAnsi="Garamond"/>
        </w:rPr>
        <w:t xml:space="preserve"> throughout the week</w:t>
      </w:r>
      <w:r w:rsidR="0094546A" w:rsidRPr="000A6DE6">
        <w:rPr>
          <w:rFonts w:ascii="Garamond" w:hAnsi="Garamond"/>
        </w:rPr>
        <w:t xml:space="preserve">. </w:t>
      </w:r>
      <w:r w:rsidR="00526CCE" w:rsidRPr="000A6DE6">
        <w:rPr>
          <w:rFonts w:ascii="Garamond" w:hAnsi="Garamond"/>
        </w:rPr>
        <w:t xml:space="preserve">The VIX week-to-date change of </w:t>
      </w:r>
      <w:r w:rsidR="009F32BF">
        <w:rPr>
          <w:rFonts w:ascii="Garamond" w:hAnsi="Garamond"/>
        </w:rPr>
        <w:t>15.75</w:t>
      </w:r>
      <w:r w:rsidR="00526CCE" w:rsidRPr="000A6DE6">
        <w:rPr>
          <w:rFonts w:ascii="Garamond" w:hAnsi="Garamond"/>
        </w:rPr>
        <w:t>% indicates that volatility levels</w:t>
      </w:r>
      <w:r w:rsidR="00AC1B73">
        <w:rPr>
          <w:rFonts w:ascii="Garamond" w:hAnsi="Garamond"/>
        </w:rPr>
        <w:t xml:space="preserve"> </w:t>
      </w:r>
      <w:r w:rsidR="009F32BF">
        <w:rPr>
          <w:rFonts w:ascii="Garamond" w:hAnsi="Garamond"/>
        </w:rPr>
        <w:t>increased</w:t>
      </w:r>
      <w:r w:rsidR="001C0C02">
        <w:rPr>
          <w:rFonts w:ascii="Garamond" w:hAnsi="Garamond"/>
        </w:rPr>
        <w:t xml:space="preserve"> </w:t>
      </w:r>
      <w:r w:rsidR="009F32BF">
        <w:rPr>
          <w:rFonts w:ascii="Garamond" w:hAnsi="Garamond"/>
        </w:rPr>
        <w:t>during the</w:t>
      </w:r>
      <w:r w:rsidR="001C0C02">
        <w:rPr>
          <w:rFonts w:ascii="Garamond" w:hAnsi="Garamond"/>
        </w:rPr>
        <w:t xml:space="preserve"> week</w:t>
      </w:r>
      <w:r w:rsidR="00992714">
        <w:rPr>
          <w:rFonts w:ascii="Garamond" w:hAnsi="Garamond"/>
        </w:rPr>
        <w:t>,</w:t>
      </w:r>
      <w:r w:rsidR="001C0C02">
        <w:rPr>
          <w:rFonts w:ascii="Garamond" w:hAnsi="Garamond"/>
        </w:rPr>
        <w:t xml:space="preserve"> leading to a year-to-date change of -</w:t>
      </w:r>
      <w:r w:rsidR="009F32BF">
        <w:rPr>
          <w:rFonts w:ascii="Garamond" w:hAnsi="Garamond"/>
        </w:rPr>
        <w:t>21.51</w:t>
      </w:r>
      <w:r w:rsidR="001C0C02">
        <w:rPr>
          <w:rFonts w:ascii="Garamond" w:hAnsi="Garamond"/>
        </w:rPr>
        <w:t xml:space="preserve">%. </w:t>
      </w:r>
      <w:r w:rsidR="00534791">
        <w:rPr>
          <w:rFonts w:ascii="Garamond" w:hAnsi="Garamond"/>
        </w:rPr>
        <w:t>The yield of</w:t>
      </w:r>
      <w:r w:rsidR="003654A1" w:rsidRPr="000A6DE6">
        <w:rPr>
          <w:rFonts w:ascii="Garamond" w:hAnsi="Garamond"/>
        </w:rPr>
        <w:t xml:space="preserve"> the</w:t>
      </w:r>
      <w:r w:rsidR="00526CCE" w:rsidRPr="000A6DE6">
        <w:rPr>
          <w:rFonts w:ascii="Garamond" w:hAnsi="Garamond"/>
        </w:rPr>
        <w:t xml:space="preserve"> 10</w:t>
      </w:r>
      <w:r w:rsidR="003654A1" w:rsidRPr="000A6DE6">
        <w:rPr>
          <w:rFonts w:ascii="Garamond" w:hAnsi="Garamond"/>
        </w:rPr>
        <w:t>-</w:t>
      </w:r>
      <w:r w:rsidR="00526CCE" w:rsidRPr="000A6DE6">
        <w:rPr>
          <w:rFonts w:ascii="Garamond" w:hAnsi="Garamond"/>
        </w:rPr>
        <w:t xml:space="preserve">year </w:t>
      </w:r>
      <w:r w:rsidR="003654A1" w:rsidRPr="000A6DE6">
        <w:rPr>
          <w:rFonts w:ascii="Garamond" w:hAnsi="Garamond"/>
        </w:rPr>
        <w:t>U.S. T-n</w:t>
      </w:r>
      <w:r w:rsidR="00526CCE" w:rsidRPr="000A6DE6">
        <w:rPr>
          <w:rFonts w:ascii="Garamond" w:hAnsi="Garamond"/>
        </w:rPr>
        <w:t>ote</w:t>
      </w:r>
      <w:r w:rsidR="003654A1" w:rsidRPr="000A6DE6">
        <w:rPr>
          <w:rFonts w:ascii="Garamond" w:hAnsi="Garamond"/>
        </w:rPr>
        <w:t xml:space="preserve"> </w:t>
      </w:r>
      <w:r w:rsidR="009F32BF">
        <w:rPr>
          <w:rFonts w:ascii="Garamond" w:hAnsi="Garamond"/>
        </w:rPr>
        <w:t>incr</w:t>
      </w:r>
      <w:r w:rsidR="003654A1" w:rsidRPr="000A6DE6">
        <w:rPr>
          <w:rFonts w:ascii="Garamond" w:hAnsi="Garamond"/>
        </w:rPr>
        <w:t xml:space="preserve">eased by </w:t>
      </w:r>
      <w:r w:rsidR="00D84FBB">
        <w:rPr>
          <w:rFonts w:ascii="Garamond" w:hAnsi="Garamond"/>
        </w:rPr>
        <w:t>2</w:t>
      </w:r>
      <w:r w:rsidR="003654A1" w:rsidRPr="000A6DE6">
        <w:rPr>
          <w:rFonts w:ascii="Garamond" w:hAnsi="Garamond"/>
        </w:rPr>
        <w:t xml:space="preserve"> basis points to </w:t>
      </w:r>
      <w:r w:rsidR="00D84FBB">
        <w:rPr>
          <w:rFonts w:ascii="Garamond" w:hAnsi="Garamond"/>
        </w:rPr>
        <w:t>1.9</w:t>
      </w:r>
      <w:r w:rsidR="009F32BF">
        <w:rPr>
          <w:rFonts w:ascii="Garamond" w:hAnsi="Garamond"/>
        </w:rPr>
        <w:t>5</w:t>
      </w:r>
      <w:r w:rsidR="00836878">
        <w:rPr>
          <w:rFonts w:ascii="Garamond" w:hAnsi="Garamond"/>
        </w:rPr>
        <w:t>%</w:t>
      </w:r>
      <w:r w:rsidR="00526CCE" w:rsidRPr="000A6DE6">
        <w:rPr>
          <w:rFonts w:ascii="Garamond" w:hAnsi="Garamond"/>
        </w:rPr>
        <w:t xml:space="preserve">. </w:t>
      </w:r>
      <w:r w:rsidR="003654A1" w:rsidRPr="000A6DE6">
        <w:rPr>
          <w:rFonts w:ascii="Garamond" w:hAnsi="Garamond"/>
        </w:rPr>
        <w:t>In addition,</w:t>
      </w:r>
      <w:r w:rsidR="00526CCE" w:rsidRPr="000A6DE6">
        <w:rPr>
          <w:rFonts w:ascii="Garamond" w:hAnsi="Garamond"/>
        </w:rPr>
        <w:t xml:space="preserve"> </w:t>
      </w:r>
      <w:r w:rsidR="00745500">
        <w:rPr>
          <w:rFonts w:ascii="Garamond" w:hAnsi="Garamond"/>
        </w:rPr>
        <w:t xml:space="preserve">the price of </w:t>
      </w:r>
      <w:r w:rsidR="00526CCE" w:rsidRPr="000A6DE6">
        <w:rPr>
          <w:rFonts w:ascii="Garamond" w:hAnsi="Garamond"/>
        </w:rPr>
        <w:t xml:space="preserve">oil </w:t>
      </w:r>
      <w:r w:rsidR="00992714">
        <w:rPr>
          <w:rFonts w:ascii="Garamond" w:hAnsi="Garamond"/>
        </w:rPr>
        <w:t>increased</w:t>
      </w:r>
      <w:r w:rsidR="003C2C57">
        <w:rPr>
          <w:rFonts w:ascii="Garamond" w:hAnsi="Garamond"/>
        </w:rPr>
        <w:t xml:space="preserve"> throughout the week</w:t>
      </w:r>
      <w:r w:rsidR="003E4F58">
        <w:rPr>
          <w:rFonts w:ascii="Garamond" w:hAnsi="Garamond"/>
        </w:rPr>
        <w:t xml:space="preserve"> </w:t>
      </w:r>
      <w:r w:rsidR="003C2C57">
        <w:rPr>
          <w:rFonts w:ascii="Garamond" w:hAnsi="Garamond"/>
        </w:rPr>
        <w:t xml:space="preserve">by </w:t>
      </w:r>
      <w:r w:rsidR="009F32BF">
        <w:rPr>
          <w:rFonts w:ascii="Garamond" w:hAnsi="Garamond"/>
        </w:rPr>
        <w:t>4.94</w:t>
      </w:r>
      <w:r w:rsidR="003C2C57">
        <w:rPr>
          <w:rFonts w:ascii="Garamond" w:hAnsi="Garamond"/>
        </w:rPr>
        <w:t xml:space="preserve">% </w:t>
      </w:r>
      <w:r w:rsidR="003E4F58">
        <w:rPr>
          <w:rFonts w:ascii="Garamond" w:hAnsi="Garamond"/>
        </w:rPr>
        <w:t xml:space="preserve">to </w:t>
      </w:r>
      <w:r w:rsidR="00712DDA" w:rsidRPr="000A6DE6">
        <w:rPr>
          <w:rFonts w:ascii="Garamond" w:hAnsi="Garamond"/>
        </w:rPr>
        <w:t>a price</w:t>
      </w:r>
      <w:r w:rsidR="003654A1" w:rsidRPr="000A6DE6">
        <w:rPr>
          <w:rFonts w:ascii="Garamond" w:hAnsi="Garamond"/>
        </w:rPr>
        <w:t xml:space="preserve"> of $</w:t>
      </w:r>
      <w:r w:rsidR="009F32BF">
        <w:rPr>
          <w:rFonts w:ascii="Garamond" w:hAnsi="Garamond"/>
        </w:rPr>
        <w:t>48.87</w:t>
      </w:r>
      <w:r w:rsidR="003C2C57">
        <w:rPr>
          <w:rFonts w:ascii="Garamond" w:hAnsi="Garamond"/>
        </w:rPr>
        <w:t>/bbl</w:t>
      </w:r>
      <w:r w:rsidR="003E4F58">
        <w:rPr>
          <w:rFonts w:ascii="Garamond" w:hAnsi="Garamond"/>
        </w:rPr>
        <w:t>.</w:t>
      </w:r>
      <w:r w:rsidR="003F5848">
        <w:rPr>
          <w:rFonts w:ascii="Garamond" w:hAnsi="Garamond"/>
        </w:rPr>
        <w:t xml:space="preserve"> </w:t>
      </w:r>
    </w:p>
    <w:p w:rsidR="00A5625E" w:rsidRDefault="00F6411D" w:rsidP="006A7B31">
      <w:pPr>
        <w:contextualSpacing/>
        <w:jc w:val="both"/>
        <w:rPr>
          <w:rFonts w:ascii="Garamond" w:hAnsi="Garamond"/>
        </w:rPr>
      </w:pPr>
      <w:r w:rsidRPr="000A6DE6">
        <w:rPr>
          <w:rFonts w:ascii="Garamond" w:hAnsi="Garamond"/>
        </w:rPr>
        <w:t xml:space="preserve">This week’s </w:t>
      </w:r>
      <w:r w:rsidR="009F32BF">
        <w:rPr>
          <w:rFonts w:ascii="Garamond" w:hAnsi="Garamond"/>
        </w:rPr>
        <w:t>decline</w:t>
      </w:r>
      <w:r w:rsidR="0029252F">
        <w:rPr>
          <w:rFonts w:ascii="Garamond" w:hAnsi="Garamond"/>
        </w:rPr>
        <w:t xml:space="preserve"> </w:t>
      </w:r>
      <w:r w:rsidR="009F32BF">
        <w:rPr>
          <w:rFonts w:ascii="Garamond" w:hAnsi="Garamond"/>
        </w:rPr>
        <w:t>of benchmark</w:t>
      </w:r>
      <w:r w:rsidR="0029252F">
        <w:rPr>
          <w:rFonts w:ascii="Garamond" w:hAnsi="Garamond"/>
        </w:rPr>
        <w:t xml:space="preserve"> </w:t>
      </w:r>
      <w:r w:rsidRPr="000A6DE6">
        <w:rPr>
          <w:rFonts w:ascii="Garamond" w:hAnsi="Garamond"/>
        </w:rPr>
        <w:t>stock price</w:t>
      </w:r>
      <w:r w:rsidR="0029252F">
        <w:rPr>
          <w:rFonts w:ascii="Garamond" w:hAnsi="Garamond"/>
        </w:rPr>
        <w:t>s</w:t>
      </w:r>
      <w:r w:rsidRPr="000A6DE6">
        <w:rPr>
          <w:rFonts w:ascii="Garamond" w:hAnsi="Garamond"/>
        </w:rPr>
        <w:t xml:space="preserve"> was primarily driven by </w:t>
      </w:r>
      <w:r w:rsidR="00D365FE">
        <w:rPr>
          <w:rFonts w:ascii="Garamond" w:hAnsi="Garamond"/>
        </w:rPr>
        <w:t>negative economic reports, indicating a slowdown in the recovery of the U.S. economy</w:t>
      </w:r>
      <w:r w:rsidR="007C46B0">
        <w:rPr>
          <w:rFonts w:ascii="Garamond" w:hAnsi="Garamond"/>
        </w:rPr>
        <w:t xml:space="preserve">. </w:t>
      </w:r>
      <w:r w:rsidR="00903617">
        <w:rPr>
          <w:rFonts w:ascii="Garamond" w:hAnsi="Garamond"/>
        </w:rPr>
        <w:t xml:space="preserve">Third estimates of real GDP growth for the final quarter of 2014 remained unchanged at 2.2%, 0.2% lower than market expectations of 2.4% and 0.4% lower than an initial reading of 2.6%. </w:t>
      </w:r>
      <w:r w:rsidR="0045340A">
        <w:rPr>
          <w:rFonts w:ascii="Garamond" w:hAnsi="Garamond"/>
        </w:rPr>
        <w:t xml:space="preserve">The Commerce Department also reported a decline in corporate profits </w:t>
      </w:r>
      <w:r w:rsidR="00910027">
        <w:rPr>
          <w:rFonts w:ascii="Garamond" w:hAnsi="Garamond"/>
        </w:rPr>
        <w:t>with</w:t>
      </w:r>
      <w:r w:rsidR="0045340A">
        <w:rPr>
          <w:rFonts w:ascii="Garamond" w:hAnsi="Garamond"/>
        </w:rPr>
        <w:t xml:space="preserve"> their largest quarterly decline in four years. Annually, corporate profits declined 0.8% and were the first decrease in corporate profits since the 2008 financial crisis. Another indicator of the slowdown in U.S. economic growth is the decline in the U.S. durable goods market in February. Manufacturers experienced a decline in new orders of 1.4%. Core capital goods orders, an indicator of expected future business investment also declined by 1.4%. In the transportation sector, commercial aircraft manufacturers saw a significant decline in new orders by 8.9%. </w:t>
      </w:r>
    </w:p>
    <w:p w:rsidR="00A5625E" w:rsidRDefault="00F53BF6" w:rsidP="00550DBE">
      <w:pPr>
        <w:contextualSpacing/>
        <w:jc w:val="both"/>
        <w:rPr>
          <w:rFonts w:ascii="Garamond" w:hAnsi="Garamond"/>
        </w:rPr>
      </w:pPr>
      <w:r>
        <w:rPr>
          <w:rFonts w:ascii="Garamond" w:hAnsi="Garamond"/>
        </w:rPr>
        <w:t xml:space="preserve">In February, the Consumer Price Index started to rise again after declining in the previous three months. After excluding </w:t>
      </w:r>
      <w:r w:rsidR="00A5625E">
        <w:rPr>
          <w:rFonts w:ascii="Garamond" w:hAnsi="Garamond"/>
        </w:rPr>
        <w:t xml:space="preserve">relatively volatile </w:t>
      </w:r>
      <w:r>
        <w:rPr>
          <w:rFonts w:ascii="Garamond" w:hAnsi="Garamond"/>
        </w:rPr>
        <w:t>energy and</w:t>
      </w:r>
      <w:r w:rsidR="00A5625E">
        <w:rPr>
          <w:rFonts w:ascii="Garamond" w:hAnsi="Garamond"/>
        </w:rPr>
        <w:t xml:space="preserve"> food prices, the consumer price index rose by</w:t>
      </w:r>
      <w:r>
        <w:rPr>
          <w:rFonts w:ascii="Garamond" w:hAnsi="Garamond"/>
        </w:rPr>
        <w:t xml:space="preserve"> 0.2%</w:t>
      </w:r>
      <w:r w:rsidR="00A5625E">
        <w:rPr>
          <w:rFonts w:ascii="Garamond" w:hAnsi="Garamond"/>
        </w:rPr>
        <w:t>. While the price of oil is still very low, only starting to recover slowly and the dollar remains strong compared to other major currencies, corporate earnings are expected to be affected by these conditions for several quarters. Lastly, the housing market continues to improve and surprised the market with an increase of 7.8% in sales of newly built homes, a third consecutive monthly increase.</w:t>
      </w:r>
    </w:p>
    <w:p w:rsidR="00A5625E" w:rsidRDefault="00A5625E" w:rsidP="00550DBE">
      <w:pPr>
        <w:contextualSpacing/>
        <w:jc w:val="both"/>
        <w:rPr>
          <w:rFonts w:ascii="Garamond" w:hAnsi="Garamond"/>
        </w:rPr>
      </w:pPr>
      <w:r>
        <w:rPr>
          <w:rFonts w:ascii="Garamond" w:hAnsi="Garamond"/>
        </w:rPr>
        <w:t>Internationally, the Eurozone start</w:t>
      </w:r>
      <w:r w:rsidR="00310538">
        <w:rPr>
          <w:rFonts w:ascii="Garamond" w:hAnsi="Garamond"/>
        </w:rPr>
        <w:t>s to show signs of improvement, p</w:t>
      </w:r>
      <w:r>
        <w:rPr>
          <w:rFonts w:ascii="Garamond" w:hAnsi="Garamond"/>
        </w:rPr>
        <w:t xml:space="preserve">rimarily led by </w:t>
      </w:r>
      <w:r w:rsidR="00310538">
        <w:rPr>
          <w:rFonts w:ascii="Garamond" w:hAnsi="Garamond"/>
        </w:rPr>
        <w:t>growth of the German economy that recorded its fastest increase in private sector activity since 2011. The primary drivers of growth in the Eurozone are currently low oil prices combined with the weak euro as well as greater confidence in the Eurozone’s stability after the launch of the European Central Bank’s stimulus program. In February, the consumer price index of the Eurozone was 0.3% lower compared to a year earlier. Expected economic growth led to an increase of the workforce. Businesses started to hire new workers at the fastest rate the economy has seen since 2011.</w:t>
      </w:r>
    </w:p>
    <w:p w:rsidR="004744A3" w:rsidRPr="000A6DE6" w:rsidRDefault="00D73D6E" w:rsidP="00550DBE">
      <w:pPr>
        <w:contextualSpacing/>
        <w:jc w:val="both"/>
        <w:rPr>
          <w:rFonts w:ascii="Garamond" w:hAnsi="Garamond"/>
        </w:rPr>
      </w:pPr>
      <w:r w:rsidRPr="000A6DE6">
        <w:rPr>
          <w:rFonts w:ascii="Garamond" w:hAnsi="Garamond"/>
        </w:rPr>
        <w:t xml:space="preserve">Next week, investors will be looking forward to see data from different economic reports that </w:t>
      </w:r>
      <w:r w:rsidR="0024233C">
        <w:rPr>
          <w:rFonts w:ascii="Garamond" w:hAnsi="Garamond"/>
        </w:rPr>
        <w:t xml:space="preserve">will have an impact on the </w:t>
      </w:r>
      <w:r w:rsidR="00891405">
        <w:rPr>
          <w:rFonts w:ascii="Garamond" w:hAnsi="Garamond"/>
        </w:rPr>
        <w:t xml:space="preserve">global </w:t>
      </w:r>
      <w:r w:rsidR="0045475F">
        <w:rPr>
          <w:rFonts w:ascii="Garamond" w:hAnsi="Garamond"/>
        </w:rPr>
        <w:t xml:space="preserve">markets. On </w:t>
      </w:r>
      <w:r w:rsidR="00550DBE">
        <w:rPr>
          <w:rFonts w:ascii="Garamond" w:hAnsi="Garamond"/>
        </w:rPr>
        <w:t xml:space="preserve">Tuesday </w:t>
      </w:r>
      <w:r w:rsidR="0045475F">
        <w:rPr>
          <w:rFonts w:ascii="Garamond" w:hAnsi="Garamond"/>
        </w:rPr>
        <w:t>31</w:t>
      </w:r>
      <w:r w:rsidR="0045475F">
        <w:rPr>
          <w:rFonts w:ascii="Garamond" w:hAnsi="Garamond"/>
          <w:vertAlign w:val="superscript"/>
        </w:rPr>
        <w:t xml:space="preserve">st </w:t>
      </w:r>
      <w:r w:rsidR="0045475F">
        <w:rPr>
          <w:rFonts w:ascii="Garamond" w:hAnsi="Garamond"/>
        </w:rPr>
        <w:t>major economies will report on economic data.</w:t>
      </w:r>
      <w:r w:rsidR="00550DBE">
        <w:rPr>
          <w:rFonts w:ascii="Garamond" w:hAnsi="Garamond"/>
        </w:rPr>
        <w:t xml:space="preserve"> </w:t>
      </w:r>
      <w:r w:rsidR="002445B0">
        <w:rPr>
          <w:rFonts w:ascii="Garamond" w:hAnsi="Garamond"/>
        </w:rPr>
        <w:t xml:space="preserve">Germany will </w:t>
      </w:r>
      <w:r w:rsidR="0045475F">
        <w:rPr>
          <w:rFonts w:ascii="Garamond" w:hAnsi="Garamond"/>
        </w:rPr>
        <w:t>report on the country’s unemployment change</w:t>
      </w:r>
      <w:r w:rsidR="00550DBE">
        <w:rPr>
          <w:rFonts w:ascii="Garamond" w:hAnsi="Garamond"/>
        </w:rPr>
        <w:t>.</w:t>
      </w:r>
      <w:r w:rsidR="00C770C7">
        <w:rPr>
          <w:rFonts w:ascii="Garamond" w:hAnsi="Garamond"/>
        </w:rPr>
        <w:t xml:space="preserve"> The </w:t>
      </w:r>
      <w:r w:rsidR="002445B0">
        <w:rPr>
          <w:rFonts w:ascii="Garamond" w:hAnsi="Garamond"/>
        </w:rPr>
        <w:t>United Kingdom will report on the economy’s</w:t>
      </w:r>
      <w:r w:rsidR="00C770C7">
        <w:rPr>
          <w:rFonts w:ascii="Garamond" w:hAnsi="Garamond"/>
        </w:rPr>
        <w:t xml:space="preserve"> </w:t>
      </w:r>
      <w:r w:rsidR="0045475F">
        <w:rPr>
          <w:rFonts w:ascii="Garamond" w:hAnsi="Garamond"/>
        </w:rPr>
        <w:t xml:space="preserve">Gross </w:t>
      </w:r>
      <w:r w:rsidR="0045475F">
        <w:rPr>
          <w:rFonts w:ascii="Garamond" w:hAnsi="Garamond"/>
        </w:rPr>
        <w:lastRenderedPageBreak/>
        <w:t>Domestic Product (GDP)</w:t>
      </w:r>
      <w:r w:rsidR="00C770C7">
        <w:rPr>
          <w:rFonts w:ascii="Garamond" w:hAnsi="Garamond"/>
        </w:rPr>
        <w:t xml:space="preserve"> YoY</w:t>
      </w:r>
      <w:r w:rsidR="0045475F">
        <w:rPr>
          <w:rFonts w:ascii="Garamond" w:hAnsi="Garamond"/>
        </w:rPr>
        <w:t xml:space="preserve"> and QoQ</w:t>
      </w:r>
      <w:r w:rsidR="00C770C7">
        <w:rPr>
          <w:rFonts w:ascii="Garamond" w:hAnsi="Garamond"/>
        </w:rPr>
        <w:t xml:space="preserve"> (</w:t>
      </w:r>
      <w:r w:rsidR="0045475F">
        <w:rPr>
          <w:rFonts w:ascii="Garamond" w:hAnsi="Garamond"/>
        </w:rPr>
        <w:t>Q4</w:t>
      </w:r>
      <w:r w:rsidR="00C770C7">
        <w:rPr>
          <w:rFonts w:ascii="Garamond" w:hAnsi="Garamond"/>
        </w:rPr>
        <w:t>).</w:t>
      </w:r>
      <w:r w:rsidR="002445B0">
        <w:rPr>
          <w:rFonts w:ascii="Garamond" w:hAnsi="Garamond"/>
        </w:rPr>
        <w:t xml:space="preserve"> </w:t>
      </w:r>
      <w:r w:rsidR="0045475F">
        <w:rPr>
          <w:rFonts w:ascii="Garamond" w:hAnsi="Garamond"/>
        </w:rPr>
        <w:t>The Eurozone will report on the economy’s Consu</w:t>
      </w:r>
      <w:r w:rsidR="00910027">
        <w:rPr>
          <w:rFonts w:ascii="Garamond" w:hAnsi="Garamond"/>
        </w:rPr>
        <w:t>mer Price Index (CPI) YoY (Mar).</w:t>
      </w:r>
      <w:r w:rsidR="0045475F">
        <w:rPr>
          <w:rFonts w:ascii="Garamond" w:hAnsi="Garamond"/>
        </w:rPr>
        <w:t xml:space="preserve"> Canada will release data about the country’s Gross Domestic Product (MoM) (Jan). The Bank of Japan will report on the country’s performance of the large manufacturing sector and China will release data about the manufacturing PMI (Mar). </w:t>
      </w:r>
      <w:r w:rsidR="002445B0">
        <w:rPr>
          <w:rFonts w:ascii="Garamond" w:hAnsi="Garamond"/>
        </w:rPr>
        <w:t xml:space="preserve">On </w:t>
      </w:r>
      <w:r w:rsidR="0045475F">
        <w:rPr>
          <w:rFonts w:ascii="Garamond" w:hAnsi="Garamond"/>
        </w:rPr>
        <w:t>Wednesday</w:t>
      </w:r>
      <w:r w:rsidR="002445B0">
        <w:rPr>
          <w:rFonts w:ascii="Garamond" w:hAnsi="Garamond"/>
        </w:rPr>
        <w:t xml:space="preserve"> </w:t>
      </w:r>
      <w:r w:rsidR="0045475F">
        <w:rPr>
          <w:rFonts w:ascii="Garamond" w:hAnsi="Garamond"/>
        </w:rPr>
        <w:t>1</w:t>
      </w:r>
      <w:r w:rsidR="0045475F">
        <w:rPr>
          <w:rFonts w:ascii="Garamond" w:hAnsi="Garamond"/>
          <w:vertAlign w:val="superscript"/>
        </w:rPr>
        <w:t>st</w:t>
      </w:r>
      <w:r w:rsidR="00ED05FA" w:rsidRPr="000A6DE6">
        <w:rPr>
          <w:rFonts w:ascii="Garamond" w:hAnsi="Garamond"/>
        </w:rPr>
        <w:t xml:space="preserve">, </w:t>
      </w:r>
      <w:r w:rsidR="0045475F">
        <w:rPr>
          <w:rFonts w:ascii="Garamond" w:hAnsi="Garamond"/>
        </w:rPr>
        <w:t>Germany</w:t>
      </w:r>
      <w:r w:rsidR="002445B0">
        <w:rPr>
          <w:rFonts w:ascii="Garamond" w:hAnsi="Garamond"/>
        </w:rPr>
        <w:t xml:space="preserve"> </w:t>
      </w:r>
      <w:r w:rsidR="0045475F">
        <w:rPr>
          <w:rFonts w:ascii="Garamond" w:hAnsi="Garamond"/>
        </w:rPr>
        <w:t xml:space="preserve">and the United Kingdom </w:t>
      </w:r>
      <w:r w:rsidR="002445B0">
        <w:rPr>
          <w:rFonts w:ascii="Garamond" w:hAnsi="Garamond"/>
        </w:rPr>
        <w:t>will re</w:t>
      </w:r>
      <w:r w:rsidR="0045475F">
        <w:rPr>
          <w:rFonts w:ascii="Garamond" w:hAnsi="Garamond"/>
        </w:rPr>
        <w:t>port on their country’s manufacturing PMI</w:t>
      </w:r>
      <w:r w:rsidR="002445B0">
        <w:rPr>
          <w:rFonts w:ascii="Garamond" w:hAnsi="Garamond"/>
        </w:rPr>
        <w:t xml:space="preserve"> (M</w:t>
      </w:r>
      <w:r w:rsidR="0045475F">
        <w:rPr>
          <w:rFonts w:ascii="Garamond" w:hAnsi="Garamond"/>
        </w:rPr>
        <w:t>ar)</w:t>
      </w:r>
      <w:r w:rsidR="00C770C7">
        <w:rPr>
          <w:rFonts w:ascii="Garamond" w:hAnsi="Garamond"/>
        </w:rPr>
        <w:t>.</w:t>
      </w:r>
      <w:r w:rsidR="0045475F">
        <w:rPr>
          <w:rFonts w:ascii="Garamond" w:hAnsi="Garamond"/>
        </w:rPr>
        <w:t xml:space="preserve"> On Thursday 2</w:t>
      </w:r>
      <w:r w:rsidR="0045475F" w:rsidRPr="0045475F">
        <w:rPr>
          <w:rFonts w:ascii="Garamond" w:hAnsi="Garamond"/>
          <w:vertAlign w:val="superscript"/>
        </w:rPr>
        <w:t>nd</w:t>
      </w:r>
      <w:r w:rsidR="0045475F">
        <w:rPr>
          <w:rFonts w:ascii="Garamond" w:hAnsi="Garamond"/>
        </w:rPr>
        <w:t xml:space="preserve">, the United Kingdom will </w:t>
      </w:r>
      <w:r w:rsidR="00910027">
        <w:rPr>
          <w:rFonts w:ascii="Garamond" w:hAnsi="Garamond"/>
        </w:rPr>
        <w:t>report on the country’s construction PMI (Mar).</w:t>
      </w:r>
      <w:r w:rsidR="00C770C7">
        <w:rPr>
          <w:rFonts w:ascii="Garamond" w:hAnsi="Garamond"/>
        </w:rPr>
        <w:t xml:space="preserve"> </w:t>
      </w:r>
    </w:p>
    <w:sectPr w:rsidR="004744A3" w:rsidRPr="000A6DE6" w:rsidSect="00EB3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7147F"/>
    <w:multiLevelType w:val="hybridMultilevel"/>
    <w:tmpl w:val="12DCE288"/>
    <w:lvl w:ilvl="0" w:tplc="733C2C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AC1"/>
    <w:rsid w:val="000870AC"/>
    <w:rsid w:val="000A6DE6"/>
    <w:rsid w:val="000D04D6"/>
    <w:rsid w:val="000D6ADB"/>
    <w:rsid w:val="000E75FB"/>
    <w:rsid w:val="000F460F"/>
    <w:rsid w:val="00192982"/>
    <w:rsid w:val="001A3122"/>
    <w:rsid w:val="001C0C02"/>
    <w:rsid w:val="00202E36"/>
    <w:rsid w:val="00233E80"/>
    <w:rsid w:val="0024233C"/>
    <w:rsid w:val="002445B0"/>
    <w:rsid w:val="0029252F"/>
    <w:rsid w:val="002A53CB"/>
    <w:rsid w:val="002E4BD6"/>
    <w:rsid w:val="002E5AC1"/>
    <w:rsid w:val="00310057"/>
    <w:rsid w:val="00310538"/>
    <w:rsid w:val="00316AEF"/>
    <w:rsid w:val="00356C5A"/>
    <w:rsid w:val="003654A1"/>
    <w:rsid w:val="003C2C57"/>
    <w:rsid w:val="003C7A9D"/>
    <w:rsid w:val="003D18A1"/>
    <w:rsid w:val="003D430F"/>
    <w:rsid w:val="003E4F58"/>
    <w:rsid w:val="003F5848"/>
    <w:rsid w:val="0045340A"/>
    <w:rsid w:val="0045475F"/>
    <w:rsid w:val="00460A22"/>
    <w:rsid w:val="00472A54"/>
    <w:rsid w:val="004744A3"/>
    <w:rsid w:val="00476B85"/>
    <w:rsid w:val="004A20C2"/>
    <w:rsid w:val="004A6339"/>
    <w:rsid w:val="004B4937"/>
    <w:rsid w:val="004C4C1E"/>
    <w:rsid w:val="00503B6B"/>
    <w:rsid w:val="00526CCE"/>
    <w:rsid w:val="00534791"/>
    <w:rsid w:val="00542260"/>
    <w:rsid w:val="00550DBE"/>
    <w:rsid w:val="0058375A"/>
    <w:rsid w:val="00630D45"/>
    <w:rsid w:val="0066746B"/>
    <w:rsid w:val="0069389F"/>
    <w:rsid w:val="006A7B31"/>
    <w:rsid w:val="00712DDA"/>
    <w:rsid w:val="007216F6"/>
    <w:rsid w:val="00745500"/>
    <w:rsid w:val="00756F06"/>
    <w:rsid w:val="00773F5A"/>
    <w:rsid w:val="007C46B0"/>
    <w:rsid w:val="00800FAD"/>
    <w:rsid w:val="00836878"/>
    <w:rsid w:val="008430D2"/>
    <w:rsid w:val="00855778"/>
    <w:rsid w:val="00876ED0"/>
    <w:rsid w:val="00891405"/>
    <w:rsid w:val="008C583B"/>
    <w:rsid w:val="00903617"/>
    <w:rsid w:val="00910027"/>
    <w:rsid w:val="00926DA1"/>
    <w:rsid w:val="0094546A"/>
    <w:rsid w:val="0095358C"/>
    <w:rsid w:val="00953FF8"/>
    <w:rsid w:val="00961874"/>
    <w:rsid w:val="00992714"/>
    <w:rsid w:val="009A3313"/>
    <w:rsid w:val="009A703C"/>
    <w:rsid w:val="009D1585"/>
    <w:rsid w:val="009F32BF"/>
    <w:rsid w:val="00A12C20"/>
    <w:rsid w:val="00A15921"/>
    <w:rsid w:val="00A24576"/>
    <w:rsid w:val="00A24FEE"/>
    <w:rsid w:val="00A5625E"/>
    <w:rsid w:val="00A5696A"/>
    <w:rsid w:val="00AC1B73"/>
    <w:rsid w:val="00AE6E2D"/>
    <w:rsid w:val="00B218A5"/>
    <w:rsid w:val="00BA6E6C"/>
    <w:rsid w:val="00BD1773"/>
    <w:rsid w:val="00C12492"/>
    <w:rsid w:val="00C26BDA"/>
    <w:rsid w:val="00C770C7"/>
    <w:rsid w:val="00CA5A58"/>
    <w:rsid w:val="00CC49B6"/>
    <w:rsid w:val="00CD1D8F"/>
    <w:rsid w:val="00CF10EA"/>
    <w:rsid w:val="00D053C3"/>
    <w:rsid w:val="00D26302"/>
    <w:rsid w:val="00D365FE"/>
    <w:rsid w:val="00D47D5B"/>
    <w:rsid w:val="00D62FEE"/>
    <w:rsid w:val="00D73D6E"/>
    <w:rsid w:val="00D84FBB"/>
    <w:rsid w:val="00DC0390"/>
    <w:rsid w:val="00DC2304"/>
    <w:rsid w:val="00DC3F77"/>
    <w:rsid w:val="00DC6A59"/>
    <w:rsid w:val="00E00B9E"/>
    <w:rsid w:val="00E33C3D"/>
    <w:rsid w:val="00E72D3A"/>
    <w:rsid w:val="00E77FF4"/>
    <w:rsid w:val="00E92C98"/>
    <w:rsid w:val="00EB3E6D"/>
    <w:rsid w:val="00ED05FA"/>
    <w:rsid w:val="00EF1EF1"/>
    <w:rsid w:val="00F53BF6"/>
    <w:rsid w:val="00F6411D"/>
    <w:rsid w:val="00F849CB"/>
    <w:rsid w:val="00F95E4E"/>
    <w:rsid w:val="00FB4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5FB"/>
    <w:pPr>
      <w:ind w:left="720"/>
      <w:contextualSpacing/>
    </w:pPr>
  </w:style>
  <w:style w:type="paragraph" w:styleId="BalloonText">
    <w:name w:val="Balloon Text"/>
    <w:basedOn w:val="Normal"/>
    <w:link w:val="BalloonTextChar"/>
    <w:uiPriority w:val="99"/>
    <w:semiHidden/>
    <w:unhideWhenUsed/>
    <w:rsid w:val="00A15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9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5FB"/>
    <w:pPr>
      <w:ind w:left="720"/>
      <w:contextualSpacing/>
    </w:pPr>
  </w:style>
  <w:style w:type="paragraph" w:styleId="BalloonText">
    <w:name w:val="Balloon Text"/>
    <w:basedOn w:val="Normal"/>
    <w:link w:val="BalloonTextChar"/>
    <w:uiPriority w:val="99"/>
    <w:semiHidden/>
    <w:unhideWhenUsed/>
    <w:rsid w:val="00A15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9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30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Siena College</Company>
  <LinksUpToDate>false</LinksUpToDate>
  <CharactersWithSpaces>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Weddig, Nils</dc:creator>
  <cp:lastModifiedBy>Tyler</cp:lastModifiedBy>
  <cp:revision>2</cp:revision>
  <dcterms:created xsi:type="dcterms:W3CDTF">2015-03-29T21:12:00Z</dcterms:created>
  <dcterms:modified xsi:type="dcterms:W3CDTF">2015-03-29T21:12:00Z</dcterms:modified>
</cp:coreProperties>
</file>