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7"/>
        <w:tblW w:w="9637" w:type="dxa"/>
        <w:tblLayout w:type="fixed"/>
        <w:tblLook w:val="04A0" w:firstRow="1" w:lastRow="0" w:firstColumn="1" w:lastColumn="0" w:noHBand="0" w:noVBand="1"/>
      </w:tblPr>
      <w:tblGrid>
        <w:gridCol w:w="1286"/>
        <w:gridCol w:w="815"/>
        <w:gridCol w:w="5525"/>
        <w:gridCol w:w="1087"/>
        <w:gridCol w:w="924"/>
      </w:tblGrid>
      <w:tr w:rsidR="001021DB" w:rsidTr="005A400D">
        <w:trPr>
          <w:trHeight w:val="151"/>
        </w:trPr>
        <w:tc>
          <w:tcPr>
            <w:tcW w:w="1286" w:type="dxa"/>
          </w:tcPr>
          <w:p w:rsidR="00175F41" w:rsidRPr="00D03B56" w:rsidRDefault="00175F41" w:rsidP="008B76BC">
            <w:pPr>
              <w:rPr>
                <w:rFonts w:ascii="Garamond" w:hAnsi="Garamond"/>
                <w:b/>
                <w:sz w:val="18"/>
                <w:szCs w:val="18"/>
              </w:rPr>
            </w:pPr>
            <w:bookmarkStart w:id="0" w:name="_GoBack"/>
            <w:bookmarkEnd w:id="0"/>
            <w:r w:rsidRPr="00D03B56">
              <w:rPr>
                <w:rFonts w:ascii="Garamond" w:hAnsi="Garamond"/>
                <w:b/>
                <w:sz w:val="18"/>
                <w:szCs w:val="18"/>
              </w:rPr>
              <w:t>Stock</w:t>
            </w:r>
          </w:p>
        </w:tc>
        <w:tc>
          <w:tcPr>
            <w:tcW w:w="815" w:type="dxa"/>
          </w:tcPr>
          <w:p w:rsidR="00175F41" w:rsidRPr="00D03B56" w:rsidRDefault="00162AD6" w:rsidP="008B76BC">
            <w:pPr>
              <w:jc w:val="center"/>
              <w:rPr>
                <w:rFonts w:ascii="Garamond" w:hAnsi="Garamond"/>
                <w:b/>
                <w:sz w:val="18"/>
                <w:szCs w:val="18"/>
              </w:rPr>
            </w:pPr>
            <w:r>
              <w:rPr>
                <w:rFonts w:ascii="Garamond" w:hAnsi="Garamond"/>
                <w:b/>
                <w:sz w:val="18"/>
                <w:szCs w:val="18"/>
              </w:rPr>
              <w:t>Buy/ Short</w:t>
            </w:r>
          </w:p>
        </w:tc>
        <w:tc>
          <w:tcPr>
            <w:tcW w:w="5525"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Thesis</w:t>
            </w:r>
          </w:p>
        </w:tc>
        <w:tc>
          <w:tcPr>
            <w:tcW w:w="1087"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Current Price</w:t>
            </w:r>
          </w:p>
        </w:tc>
        <w:tc>
          <w:tcPr>
            <w:tcW w:w="924"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Target Price</w:t>
            </w:r>
          </w:p>
        </w:tc>
      </w:tr>
      <w:tr w:rsidR="001021DB" w:rsidTr="005A400D">
        <w:trPr>
          <w:trHeight w:val="151"/>
        </w:trPr>
        <w:tc>
          <w:tcPr>
            <w:tcW w:w="1286" w:type="dxa"/>
          </w:tcPr>
          <w:p w:rsidR="00E9058C" w:rsidRDefault="00DF0B75" w:rsidP="00E9058C">
            <w:pPr>
              <w:rPr>
                <w:rFonts w:eastAsia="Times New Roman" w:cs="Times New Roman"/>
                <w:sz w:val="18"/>
                <w:szCs w:val="20"/>
              </w:rPr>
            </w:pPr>
            <w:r>
              <w:rPr>
                <w:rFonts w:eastAsia="Times New Roman" w:cs="Times New Roman"/>
                <w:sz w:val="18"/>
                <w:szCs w:val="20"/>
              </w:rPr>
              <w:t xml:space="preserve">Ani </w:t>
            </w:r>
            <w:r w:rsidR="00E9058C" w:rsidRPr="00E9058C">
              <w:rPr>
                <w:rFonts w:eastAsia="Times New Roman" w:cs="Times New Roman"/>
                <w:sz w:val="18"/>
                <w:szCs w:val="20"/>
              </w:rPr>
              <w:t>Pharmaceuticals, Inc.</w:t>
            </w:r>
          </w:p>
          <w:p w:rsidR="00E9058C" w:rsidRPr="00E9058C" w:rsidRDefault="00E9058C" w:rsidP="00E9058C">
            <w:pPr>
              <w:rPr>
                <w:rFonts w:eastAsia="Times New Roman" w:cs="Times New Roman"/>
                <w:sz w:val="18"/>
                <w:szCs w:val="20"/>
              </w:rPr>
            </w:pPr>
            <w:r>
              <w:rPr>
                <w:rFonts w:eastAsia="Times New Roman" w:cs="Times New Roman"/>
                <w:sz w:val="18"/>
                <w:szCs w:val="20"/>
              </w:rPr>
              <w:t>(</w:t>
            </w:r>
            <w:r w:rsidR="00DF0B75">
              <w:rPr>
                <w:rFonts w:eastAsia="Times New Roman" w:cs="Times New Roman"/>
                <w:sz w:val="18"/>
                <w:szCs w:val="20"/>
              </w:rPr>
              <w:t>ANIP)</w:t>
            </w:r>
          </w:p>
          <w:p w:rsidR="00175F41" w:rsidRPr="00175F41" w:rsidRDefault="00175F41" w:rsidP="008B76BC">
            <w:pPr>
              <w:rPr>
                <w:b/>
                <w:sz w:val="18"/>
                <w:szCs w:val="18"/>
              </w:rPr>
            </w:pPr>
          </w:p>
        </w:tc>
        <w:tc>
          <w:tcPr>
            <w:tcW w:w="815" w:type="dxa"/>
          </w:tcPr>
          <w:p w:rsidR="00175F41" w:rsidRPr="00C820FA" w:rsidRDefault="00162AD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DF0B75" w:rsidRPr="00DF0B75" w:rsidRDefault="00DF0B75" w:rsidP="00DF0B75">
            <w:pPr>
              <w:rPr>
                <w:rFonts w:ascii="Garamond" w:eastAsia="Times New Roman" w:hAnsi="Garamond" w:cs="Times New Roman"/>
                <w:sz w:val="16"/>
                <w:szCs w:val="16"/>
              </w:rPr>
            </w:pPr>
            <w:r w:rsidRPr="00DF0B75">
              <w:rPr>
                <w:rFonts w:ascii="Garamond" w:eastAsia="Times New Roman" w:hAnsi="Garamond" w:cs="Times New Roman"/>
                <w:sz w:val="16"/>
                <w:szCs w:val="16"/>
              </w:rPr>
              <w:t>ANI Pharmaceuticals has a largely diversified portfolio</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with a total combine current market, as well as a pipeline</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of 48 products that they manufacture and products they</w:t>
            </w:r>
          </w:p>
          <w:p w:rsidR="00DF0B75" w:rsidRPr="00DF0B75" w:rsidRDefault="00DF0B75" w:rsidP="00DF0B75">
            <w:pPr>
              <w:rPr>
                <w:rFonts w:ascii="Garamond" w:eastAsia="Times New Roman" w:hAnsi="Garamond" w:cs="Times New Roman"/>
                <w:sz w:val="16"/>
                <w:szCs w:val="16"/>
              </w:rPr>
            </w:pPr>
            <w:proofErr w:type="gramStart"/>
            <w:r w:rsidRPr="00DF0B75">
              <w:rPr>
                <w:rFonts w:ascii="Garamond" w:eastAsia="Times New Roman" w:hAnsi="Garamond" w:cs="Times New Roman"/>
                <w:sz w:val="16"/>
                <w:szCs w:val="16"/>
              </w:rPr>
              <w:t>acquire</w:t>
            </w:r>
            <w:proofErr w:type="gramEnd"/>
            <w:r w:rsidRPr="00DF0B75">
              <w:rPr>
                <w:rFonts w:ascii="Garamond" w:eastAsia="Times New Roman" w:hAnsi="Garamond" w:cs="Times New Roman"/>
                <w:sz w:val="16"/>
                <w:szCs w:val="16"/>
              </w:rPr>
              <w:t>, with an addressable market of approximately</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$2.8 billion. The company is very active with product</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acquisitions, and it is likely to continue in the future,</w:t>
            </w:r>
          </w:p>
          <w:p w:rsidR="00175F41" w:rsidRPr="00E9058C" w:rsidRDefault="00DF0B75" w:rsidP="00DF0B75">
            <w:pPr>
              <w:rPr>
                <w:rFonts w:ascii="Garamond" w:eastAsia="Times New Roman" w:hAnsi="Garamond" w:cs="Times New Roman"/>
                <w:sz w:val="16"/>
                <w:szCs w:val="16"/>
              </w:rPr>
            </w:pPr>
            <w:proofErr w:type="gramStart"/>
            <w:r w:rsidRPr="00DF0B75">
              <w:rPr>
                <w:rFonts w:ascii="Garamond" w:eastAsia="Times New Roman" w:hAnsi="Garamond" w:cs="Times New Roman"/>
                <w:sz w:val="16"/>
                <w:szCs w:val="16"/>
              </w:rPr>
              <w:t>further</w:t>
            </w:r>
            <w:proofErr w:type="gramEnd"/>
            <w:r w:rsidRPr="00DF0B75">
              <w:rPr>
                <w:rFonts w:ascii="Garamond" w:eastAsia="Times New Roman" w:hAnsi="Garamond" w:cs="Times New Roman"/>
                <w:sz w:val="16"/>
                <w:szCs w:val="16"/>
              </w:rPr>
              <w:t xml:space="preserve"> diversifying their pipeline. Their revenue has</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been growing rapidly, and it is expected to continue to</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grow as they launch, as well as acquire more products.</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They expect to launch between five and six products in</w:t>
            </w:r>
            <w:r>
              <w:rPr>
                <w:rFonts w:ascii="Garamond" w:eastAsia="Times New Roman" w:hAnsi="Garamond" w:cs="Times New Roman"/>
                <w:sz w:val="16"/>
                <w:szCs w:val="16"/>
              </w:rPr>
              <w:t xml:space="preserve"> FY 2015, driving their topline </w:t>
            </w:r>
            <w:r w:rsidRPr="00DF0B75">
              <w:rPr>
                <w:rFonts w:ascii="Garamond" w:eastAsia="Times New Roman" w:hAnsi="Garamond" w:cs="Times New Roman"/>
                <w:sz w:val="16"/>
                <w:szCs w:val="16"/>
              </w:rPr>
              <w:t>growth. Since they</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develop generic drugs, they are relatively low risk</w:t>
            </w:r>
            <w:r>
              <w:rPr>
                <w:rFonts w:ascii="Garamond" w:eastAsia="Times New Roman" w:hAnsi="Garamond" w:cs="Times New Roman"/>
                <w:sz w:val="16"/>
                <w:szCs w:val="16"/>
              </w:rPr>
              <w:t xml:space="preserve"> </w:t>
            </w:r>
            <w:r w:rsidRPr="00DF0B75">
              <w:rPr>
                <w:rFonts w:ascii="Garamond" w:eastAsia="Times New Roman" w:hAnsi="Garamond" w:cs="Times New Roman"/>
                <w:sz w:val="16"/>
                <w:szCs w:val="16"/>
              </w:rPr>
              <w:t>compared to name brand drug makers.</w:t>
            </w:r>
          </w:p>
        </w:tc>
        <w:tc>
          <w:tcPr>
            <w:tcW w:w="1087" w:type="dxa"/>
          </w:tcPr>
          <w:p w:rsidR="00175F41" w:rsidRPr="00C820FA" w:rsidRDefault="00175F41" w:rsidP="008B76BC">
            <w:pPr>
              <w:jc w:val="center"/>
              <w:rPr>
                <w:rFonts w:ascii="Garamond" w:hAnsi="Garamond"/>
                <w:sz w:val="20"/>
                <w:szCs w:val="20"/>
              </w:rPr>
            </w:pPr>
            <w:r w:rsidRPr="00C820FA">
              <w:rPr>
                <w:rFonts w:ascii="Garamond" w:hAnsi="Garamond"/>
                <w:sz w:val="20"/>
                <w:szCs w:val="20"/>
              </w:rPr>
              <w:t>$</w:t>
            </w:r>
            <w:r w:rsidR="00DF0B75">
              <w:rPr>
                <w:rFonts w:ascii="Garamond" w:hAnsi="Garamond"/>
                <w:sz w:val="20"/>
                <w:szCs w:val="20"/>
              </w:rPr>
              <w:t>61.94</w:t>
            </w:r>
          </w:p>
          <w:p w:rsidR="00175F41" w:rsidRPr="00C820FA" w:rsidRDefault="00175F41" w:rsidP="008B76BC">
            <w:pPr>
              <w:jc w:val="center"/>
              <w:rPr>
                <w:rFonts w:ascii="Garamond" w:hAnsi="Garamond"/>
                <w:sz w:val="20"/>
                <w:szCs w:val="20"/>
              </w:rPr>
            </w:pPr>
          </w:p>
        </w:tc>
        <w:tc>
          <w:tcPr>
            <w:tcW w:w="924" w:type="dxa"/>
          </w:tcPr>
          <w:p w:rsidR="00175F41" w:rsidRPr="00C820FA" w:rsidRDefault="00DF0B75" w:rsidP="008B76BC">
            <w:pPr>
              <w:jc w:val="center"/>
              <w:rPr>
                <w:rFonts w:ascii="Garamond" w:hAnsi="Garamond"/>
                <w:sz w:val="20"/>
                <w:szCs w:val="20"/>
              </w:rPr>
            </w:pPr>
            <w:r>
              <w:rPr>
                <w:rFonts w:ascii="Garamond" w:hAnsi="Garamond"/>
                <w:sz w:val="20"/>
                <w:szCs w:val="20"/>
              </w:rPr>
              <w:t>$82.09</w:t>
            </w:r>
          </w:p>
          <w:p w:rsidR="00175F41" w:rsidRPr="00C820FA" w:rsidRDefault="00175F41" w:rsidP="008B76BC">
            <w:pPr>
              <w:jc w:val="center"/>
              <w:rPr>
                <w:rFonts w:ascii="Garamond" w:hAnsi="Garamond"/>
                <w:sz w:val="20"/>
                <w:szCs w:val="20"/>
              </w:rPr>
            </w:pPr>
          </w:p>
        </w:tc>
      </w:tr>
      <w:tr w:rsidR="001021DB" w:rsidTr="005A400D">
        <w:trPr>
          <w:trHeight w:val="151"/>
        </w:trPr>
        <w:tc>
          <w:tcPr>
            <w:tcW w:w="1286" w:type="dxa"/>
          </w:tcPr>
          <w:p w:rsidR="00DF0B75" w:rsidRDefault="00DF0B75" w:rsidP="00DF0B75">
            <w:pPr>
              <w:rPr>
                <w:rFonts w:eastAsia="Times New Roman" w:cs="Times New Roman"/>
                <w:sz w:val="18"/>
                <w:szCs w:val="20"/>
              </w:rPr>
            </w:pPr>
            <w:proofErr w:type="spellStart"/>
            <w:r w:rsidRPr="00DF0B75">
              <w:rPr>
                <w:rFonts w:eastAsia="Times New Roman" w:cs="Times New Roman"/>
                <w:sz w:val="18"/>
                <w:szCs w:val="20"/>
              </w:rPr>
              <w:t>Calgon</w:t>
            </w:r>
            <w:proofErr w:type="spellEnd"/>
            <w:r w:rsidRPr="00DF0B75">
              <w:rPr>
                <w:rFonts w:eastAsia="Times New Roman" w:cs="Times New Roman"/>
                <w:sz w:val="18"/>
                <w:szCs w:val="20"/>
              </w:rPr>
              <w:t xml:space="preserve"> Carbon Corporation</w:t>
            </w:r>
          </w:p>
          <w:p w:rsidR="00DF0B75" w:rsidRPr="00DF0B75" w:rsidRDefault="00DF0B75" w:rsidP="00DF0B75">
            <w:pPr>
              <w:rPr>
                <w:rFonts w:eastAsia="Times New Roman" w:cs="Times New Roman"/>
                <w:sz w:val="18"/>
                <w:szCs w:val="20"/>
              </w:rPr>
            </w:pPr>
            <w:r>
              <w:rPr>
                <w:rFonts w:eastAsia="Times New Roman" w:cs="Times New Roman"/>
                <w:sz w:val="18"/>
                <w:szCs w:val="20"/>
              </w:rPr>
              <w:t>(CCC)</w:t>
            </w:r>
          </w:p>
          <w:p w:rsidR="00E9058C" w:rsidRPr="00175F41" w:rsidRDefault="00E9058C" w:rsidP="008B76BC">
            <w:pPr>
              <w:rPr>
                <w:sz w:val="18"/>
                <w:szCs w:val="18"/>
              </w:rPr>
            </w:pPr>
          </w:p>
        </w:tc>
        <w:tc>
          <w:tcPr>
            <w:tcW w:w="815" w:type="dxa"/>
          </w:tcPr>
          <w:p w:rsidR="00175F41" w:rsidRPr="00C820FA" w:rsidRDefault="00E9058C" w:rsidP="00DF0B75">
            <w:pPr>
              <w:jc w:val="center"/>
              <w:rPr>
                <w:rFonts w:ascii="Garamond" w:hAnsi="Garamond"/>
                <w:sz w:val="24"/>
                <w:szCs w:val="24"/>
              </w:rPr>
            </w:pPr>
            <w:r>
              <w:rPr>
                <w:rFonts w:ascii="Garamond" w:hAnsi="Garamond"/>
                <w:sz w:val="24"/>
                <w:szCs w:val="24"/>
              </w:rPr>
              <w:t xml:space="preserve">Buy </w:t>
            </w:r>
          </w:p>
        </w:tc>
        <w:tc>
          <w:tcPr>
            <w:tcW w:w="5525" w:type="dxa"/>
          </w:tcPr>
          <w:p w:rsidR="00DF0B75" w:rsidRPr="00DF0B75" w:rsidRDefault="00DF0B75" w:rsidP="00DF0B75">
            <w:pPr>
              <w:rPr>
                <w:rFonts w:ascii="Garamond" w:eastAsia="Times New Roman" w:hAnsi="Garamond" w:cs="Times New Roman"/>
                <w:sz w:val="16"/>
                <w:szCs w:val="20"/>
              </w:rPr>
            </w:pPr>
            <w:proofErr w:type="spellStart"/>
            <w:r w:rsidRPr="00DF0B75">
              <w:rPr>
                <w:rFonts w:ascii="Garamond" w:eastAsia="Times New Roman" w:hAnsi="Garamond" w:cs="Times New Roman"/>
                <w:sz w:val="16"/>
                <w:szCs w:val="20"/>
              </w:rPr>
              <w:t>Calgon</w:t>
            </w:r>
            <w:proofErr w:type="spellEnd"/>
            <w:r w:rsidRPr="00DF0B75">
              <w:rPr>
                <w:rFonts w:ascii="Garamond" w:eastAsia="Times New Roman" w:hAnsi="Garamond" w:cs="Times New Roman"/>
                <w:sz w:val="16"/>
                <w:szCs w:val="20"/>
              </w:rPr>
              <w:t xml:space="preserve"> Carbon Corporation (CCC) is the world’s largest producer of granular activated carbon. The firm solves customer purification and separation problems with a variety of technologies. CCC has a diverse product portfolio complemented by ultraviolet light and ION exchange. The company is a BUY because </w:t>
            </w:r>
            <w:proofErr w:type="spellStart"/>
            <w:r w:rsidRPr="00DF0B75">
              <w:rPr>
                <w:rFonts w:ascii="Garamond" w:eastAsia="Times New Roman" w:hAnsi="Garamond" w:cs="Times New Roman"/>
                <w:sz w:val="16"/>
                <w:szCs w:val="20"/>
              </w:rPr>
              <w:t>Calgon</w:t>
            </w:r>
            <w:proofErr w:type="spellEnd"/>
            <w:r w:rsidRPr="00DF0B75">
              <w:rPr>
                <w:rFonts w:ascii="Garamond" w:eastAsia="Times New Roman" w:hAnsi="Garamond" w:cs="Times New Roman"/>
                <w:sz w:val="16"/>
                <w:szCs w:val="20"/>
              </w:rPr>
              <w:t xml:space="preserve"> Carbon will benefit from the advance of the market for pure water and population growth. Compared to its peers, CCC represents good value in its industry and is well positioned to take advantage of the “ballast water treatment” opportunity. The company is poised for growth as it expects boom in demand for its products and is well placed to gain from its aggressive </w:t>
            </w:r>
            <w:proofErr w:type="spellStart"/>
            <w:r w:rsidRPr="00DF0B75">
              <w:rPr>
                <w:rFonts w:ascii="Garamond" w:eastAsia="Times New Roman" w:hAnsi="Garamond" w:cs="Times New Roman"/>
                <w:sz w:val="16"/>
                <w:szCs w:val="20"/>
              </w:rPr>
              <w:t>costreduction</w:t>
            </w:r>
            <w:proofErr w:type="spellEnd"/>
            <w:r w:rsidRPr="00DF0B75">
              <w:rPr>
                <w:rFonts w:ascii="Garamond" w:eastAsia="Times New Roman" w:hAnsi="Garamond" w:cs="Times New Roman"/>
                <w:sz w:val="16"/>
                <w:szCs w:val="20"/>
              </w:rPr>
              <w:t xml:space="preserve"> actions, capacity expansion and contract wins. As you can see on the graph below, the company is present in diverse range of markets and its largest contributions are in drinking water and wastewater treatment</w:t>
            </w:r>
          </w:p>
          <w:p w:rsidR="00175F41" w:rsidRPr="008B76BC" w:rsidRDefault="00175F41" w:rsidP="008B76BC">
            <w:pPr>
              <w:jc w:val="both"/>
              <w:rPr>
                <w:rFonts w:ascii="Garamond" w:hAnsi="Garamond"/>
                <w:sz w:val="16"/>
                <w:szCs w:val="16"/>
              </w:rPr>
            </w:pPr>
          </w:p>
        </w:tc>
        <w:tc>
          <w:tcPr>
            <w:tcW w:w="1087" w:type="dxa"/>
          </w:tcPr>
          <w:p w:rsidR="00175F41" w:rsidRPr="00C820FA" w:rsidRDefault="00E9058C" w:rsidP="00DF0B75">
            <w:pPr>
              <w:jc w:val="center"/>
              <w:rPr>
                <w:rFonts w:ascii="Garamond" w:hAnsi="Garamond"/>
                <w:sz w:val="20"/>
                <w:szCs w:val="20"/>
              </w:rPr>
            </w:pPr>
            <w:r>
              <w:rPr>
                <w:rFonts w:ascii="Garamond" w:hAnsi="Garamond"/>
                <w:sz w:val="20"/>
                <w:szCs w:val="20"/>
              </w:rPr>
              <w:t>$</w:t>
            </w:r>
            <w:r w:rsidR="00DF0B75">
              <w:rPr>
                <w:rFonts w:ascii="Garamond" w:hAnsi="Garamond"/>
                <w:sz w:val="20"/>
                <w:szCs w:val="20"/>
              </w:rPr>
              <w:t>20.71</w:t>
            </w:r>
          </w:p>
        </w:tc>
        <w:tc>
          <w:tcPr>
            <w:tcW w:w="924" w:type="dxa"/>
          </w:tcPr>
          <w:p w:rsidR="00175F41" w:rsidRPr="00C820FA" w:rsidRDefault="00DF0B75" w:rsidP="008B76BC">
            <w:pPr>
              <w:jc w:val="center"/>
              <w:rPr>
                <w:rFonts w:ascii="Garamond" w:hAnsi="Garamond"/>
                <w:sz w:val="20"/>
                <w:szCs w:val="20"/>
              </w:rPr>
            </w:pPr>
            <w:r>
              <w:rPr>
                <w:rFonts w:ascii="Garamond" w:hAnsi="Garamond"/>
                <w:sz w:val="20"/>
                <w:szCs w:val="20"/>
              </w:rPr>
              <w:t>$23.20</w:t>
            </w:r>
          </w:p>
        </w:tc>
      </w:tr>
      <w:tr w:rsidR="001021DB" w:rsidTr="005A400D">
        <w:trPr>
          <w:trHeight w:val="151"/>
        </w:trPr>
        <w:tc>
          <w:tcPr>
            <w:tcW w:w="1286" w:type="dxa"/>
          </w:tcPr>
          <w:p w:rsidR="00DF0B75" w:rsidRDefault="00DF0B75" w:rsidP="00DF0B75">
            <w:pPr>
              <w:rPr>
                <w:rFonts w:eastAsia="Times New Roman" w:cs="Times New Roman"/>
                <w:sz w:val="18"/>
                <w:szCs w:val="20"/>
              </w:rPr>
            </w:pPr>
            <w:r>
              <w:rPr>
                <w:rFonts w:eastAsia="Times New Roman" w:cs="Times New Roman"/>
                <w:sz w:val="18"/>
                <w:szCs w:val="20"/>
              </w:rPr>
              <w:t>Cypress Semiconducto</w:t>
            </w:r>
            <w:r w:rsidRPr="00DF0B75">
              <w:rPr>
                <w:rFonts w:eastAsia="Times New Roman" w:cs="Times New Roman"/>
                <w:sz w:val="18"/>
                <w:szCs w:val="20"/>
              </w:rPr>
              <w:t>r Corp.</w:t>
            </w:r>
          </w:p>
          <w:p w:rsidR="00DF0B75" w:rsidRPr="00DF0B75" w:rsidRDefault="00860C2F" w:rsidP="00DF0B75">
            <w:pPr>
              <w:rPr>
                <w:rFonts w:eastAsia="Times New Roman" w:cs="Times New Roman"/>
                <w:sz w:val="20"/>
                <w:szCs w:val="20"/>
              </w:rPr>
            </w:pPr>
            <w:r>
              <w:rPr>
                <w:rFonts w:eastAsia="Times New Roman" w:cs="Times New Roman"/>
                <w:sz w:val="18"/>
                <w:szCs w:val="20"/>
              </w:rPr>
              <w:t>(CY)</w:t>
            </w:r>
          </w:p>
          <w:p w:rsidR="00E9058C" w:rsidRPr="00175F41" w:rsidRDefault="00E9058C" w:rsidP="008B76BC">
            <w:pPr>
              <w:rPr>
                <w:sz w:val="18"/>
                <w:szCs w:val="18"/>
              </w:rPr>
            </w:pPr>
          </w:p>
        </w:tc>
        <w:tc>
          <w:tcPr>
            <w:tcW w:w="815" w:type="dxa"/>
          </w:tcPr>
          <w:p w:rsidR="00175F41" w:rsidRPr="00C820FA" w:rsidRDefault="00162AD6" w:rsidP="008B76BC">
            <w:pPr>
              <w:jc w:val="center"/>
              <w:rPr>
                <w:sz w:val="24"/>
                <w:szCs w:val="24"/>
              </w:rPr>
            </w:pPr>
            <w:r>
              <w:rPr>
                <w:sz w:val="24"/>
                <w:szCs w:val="24"/>
              </w:rPr>
              <w:t>Buy</w:t>
            </w:r>
          </w:p>
        </w:tc>
        <w:tc>
          <w:tcPr>
            <w:tcW w:w="5525" w:type="dxa"/>
          </w:tcPr>
          <w:p w:rsidR="00860C2F" w:rsidRPr="00860C2F" w:rsidRDefault="00860C2F" w:rsidP="00860C2F">
            <w:pPr>
              <w:rPr>
                <w:rFonts w:ascii="Garamond" w:eastAsia="Times New Roman" w:hAnsi="Garamond" w:cs="Times New Roman"/>
                <w:sz w:val="16"/>
                <w:szCs w:val="20"/>
              </w:rPr>
            </w:pPr>
            <w:r w:rsidRPr="00860C2F">
              <w:rPr>
                <w:rFonts w:ascii="Garamond" w:eastAsia="Times New Roman" w:hAnsi="Garamond" w:cs="Times New Roman"/>
                <w:sz w:val="16"/>
                <w:szCs w:val="20"/>
              </w:rPr>
              <w:t xml:space="preserve">As of March 28th, 2015, Cypress Semiconductor Corp. (CY) is a BUY due to the market undervaluing the company because of the struggling industry of semiconductors they compete in. The rapid decline in semiconductor stocks is reflective of the long-term decline in personal computers, or PCs; because of this correlation, the market is scared to invest with CY. However, Cypress’s ability to separate </w:t>
            </w:r>
            <w:proofErr w:type="gramStart"/>
            <w:r w:rsidRPr="00860C2F">
              <w:rPr>
                <w:rFonts w:ascii="Garamond" w:eastAsia="Times New Roman" w:hAnsi="Garamond" w:cs="Times New Roman"/>
                <w:sz w:val="16"/>
                <w:szCs w:val="20"/>
              </w:rPr>
              <w:t>themselves</w:t>
            </w:r>
            <w:proofErr w:type="gramEnd"/>
            <w:r w:rsidRPr="00860C2F">
              <w:rPr>
                <w:rFonts w:ascii="Garamond" w:eastAsia="Times New Roman" w:hAnsi="Garamond" w:cs="Times New Roman"/>
                <w:sz w:val="16"/>
                <w:szCs w:val="20"/>
              </w:rPr>
              <w:t xml:space="preserve"> from the industry is quite attractive, as most of their products have little connection to the PC segment. Homes and cars are becoming more involved with the revolution of the Internet of things, incorporating technology within at a fast rate. Their touch screen leadership is ahead of it’s time, and is gaining popularity amongst consumers. 2015 shall be a favorable year for CY as they expect upwards of 45% </w:t>
            </w:r>
            <w:proofErr w:type="spellStart"/>
            <w:r w:rsidRPr="00860C2F">
              <w:rPr>
                <w:rFonts w:ascii="Garamond" w:eastAsia="Times New Roman" w:hAnsi="Garamond" w:cs="Times New Roman"/>
                <w:sz w:val="16"/>
                <w:szCs w:val="20"/>
              </w:rPr>
              <w:t>YoY</w:t>
            </w:r>
            <w:proofErr w:type="spellEnd"/>
            <w:r w:rsidRPr="00860C2F">
              <w:rPr>
                <w:rFonts w:ascii="Garamond" w:eastAsia="Times New Roman" w:hAnsi="Garamond" w:cs="Times New Roman"/>
                <w:sz w:val="16"/>
                <w:szCs w:val="20"/>
              </w:rPr>
              <w:t xml:space="preserve"> growth.</w:t>
            </w:r>
          </w:p>
          <w:p w:rsidR="00175F41" w:rsidRPr="000F32DB" w:rsidRDefault="00175F41" w:rsidP="008B76BC">
            <w:pPr>
              <w:jc w:val="both"/>
              <w:rPr>
                <w:sz w:val="16"/>
                <w:szCs w:val="16"/>
              </w:rPr>
            </w:pPr>
          </w:p>
        </w:tc>
        <w:tc>
          <w:tcPr>
            <w:tcW w:w="1087" w:type="dxa"/>
          </w:tcPr>
          <w:p w:rsidR="00175F41" w:rsidRPr="00C820FA" w:rsidRDefault="00860C2F" w:rsidP="008B76BC">
            <w:pPr>
              <w:jc w:val="center"/>
              <w:rPr>
                <w:rFonts w:ascii="Garamond" w:hAnsi="Garamond"/>
                <w:sz w:val="20"/>
                <w:szCs w:val="20"/>
              </w:rPr>
            </w:pPr>
            <w:r>
              <w:rPr>
                <w:rFonts w:ascii="Garamond" w:hAnsi="Garamond"/>
                <w:sz w:val="20"/>
                <w:szCs w:val="20"/>
              </w:rPr>
              <w:t>$14.36</w:t>
            </w:r>
          </w:p>
        </w:tc>
        <w:tc>
          <w:tcPr>
            <w:tcW w:w="924" w:type="dxa"/>
          </w:tcPr>
          <w:p w:rsidR="00175F41" w:rsidRPr="00C820FA" w:rsidRDefault="00860C2F" w:rsidP="008B76BC">
            <w:pPr>
              <w:jc w:val="center"/>
              <w:rPr>
                <w:rFonts w:ascii="Garamond" w:hAnsi="Garamond"/>
                <w:sz w:val="20"/>
                <w:szCs w:val="20"/>
              </w:rPr>
            </w:pPr>
            <w:r>
              <w:rPr>
                <w:rFonts w:ascii="Garamond" w:hAnsi="Garamond"/>
                <w:sz w:val="20"/>
                <w:szCs w:val="20"/>
              </w:rPr>
              <w:t>$16.65</w:t>
            </w:r>
          </w:p>
        </w:tc>
      </w:tr>
      <w:tr w:rsidR="00E208B6" w:rsidTr="005A400D">
        <w:trPr>
          <w:trHeight w:val="151"/>
        </w:trPr>
        <w:tc>
          <w:tcPr>
            <w:tcW w:w="1286" w:type="dxa"/>
          </w:tcPr>
          <w:p w:rsidR="00E9058C" w:rsidRDefault="00860C2F" w:rsidP="008B76BC">
            <w:pPr>
              <w:rPr>
                <w:sz w:val="18"/>
                <w:szCs w:val="18"/>
              </w:rPr>
            </w:pPr>
            <w:r w:rsidRPr="00860C2F">
              <w:rPr>
                <w:sz w:val="18"/>
                <w:szCs w:val="18"/>
              </w:rPr>
              <w:t>Globus Medical, Inc.</w:t>
            </w:r>
          </w:p>
          <w:p w:rsidR="00860C2F" w:rsidRDefault="00860C2F" w:rsidP="008B76BC">
            <w:pPr>
              <w:rPr>
                <w:sz w:val="18"/>
                <w:szCs w:val="18"/>
              </w:rPr>
            </w:pPr>
            <w:r>
              <w:rPr>
                <w:sz w:val="18"/>
                <w:szCs w:val="18"/>
              </w:rPr>
              <w:t>(GMED)</w:t>
            </w:r>
          </w:p>
          <w:p w:rsidR="00860C2F" w:rsidRPr="00175F41" w:rsidRDefault="00860C2F" w:rsidP="008B76BC">
            <w:pPr>
              <w:rPr>
                <w:sz w:val="18"/>
                <w:szCs w:val="18"/>
              </w:rPr>
            </w:pPr>
          </w:p>
        </w:tc>
        <w:tc>
          <w:tcPr>
            <w:tcW w:w="815" w:type="dxa"/>
          </w:tcPr>
          <w:p w:rsidR="00E208B6" w:rsidRPr="00C820FA" w:rsidRDefault="00FA76B2" w:rsidP="008B76BC">
            <w:pPr>
              <w:jc w:val="center"/>
              <w:rPr>
                <w:sz w:val="24"/>
                <w:szCs w:val="24"/>
              </w:rPr>
            </w:pPr>
            <w:r>
              <w:rPr>
                <w:sz w:val="24"/>
                <w:szCs w:val="24"/>
              </w:rPr>
              <w:t>Buy</w:t>
            </w:r>
          </w:p>
        </w:tc>
        <w:tc>
          <w:tcPr>
            <w:tcW w:w="5525" w:type="dxa"/>
          </w:tcPr>
          <w:p w:rsidR="00860C2F" w:rsidRPr="00860C2F" w:rsidRDefault="00860C2F" w:rsidP="00860C2F">
            <w:pPr>
              <w:rPr>
                <w:rFonts w:ascii="Garamond" w:eastAsia="Times New Roman" w:hAnsi="Garamond" w:cs="Times New Roman"/>
                <w:sz w:val="16"/>
                <w:szCs w:val="16"/>
              </w:rPr>
            </w:pPr>
            <w:r w:rsidRPr="00860C2F">
              <w:rPr>
                <w:rFonts w:ascii="Garamond" w:eastAsia="Times New Roman" w:hAnsi="Garamond" w:cs="Times New Roman"/>
                <w:sz w:val="16"/>
                <w:szCs w:val="16"/>
              </w:rPr>
              <w:t xml:space="preserve">GMED has a significant potential for success. </w:t>
            </w:r>
            <w:proofErr w:type="spellStart"/>
            <w:r w:rsidRPr="00860C2F">
              <w:rPr>
                <w:rFonts w:ascii="Garamond" w:eastAsia="Times New Roman" w:hAnsi="Garamond" w:cs="Times New Roman"/>
                <w:sz w:val="16"/>
                <w:szCs w:val="16"/>
              </w:rPr>
              <w:t>Thecompany’s</w:t>
            </w:r>
            <w:proofErr w:type="spellEnd"/>
            <w:r w:rsidRPr="00860C2F">
              <w:rPr>
                <w:rFonts w:ascii="Garamond" w:eastAsia="Times New Roman" w:hAnsi="Garamond" w:cs="Times New Roman"/>
                <w:sz w:val="16"/>
                <w:szCs w:val="16"/>
              </w:rPr>
              <w:t xml:space="preserve"> biggest catalyst for an increase in stock price</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is its revenues. The recent three acquisitions increased</w:t>
            </w:r>
            <w:r>
              <w:rPr>
                <w:rFonts w:ascii="Garamond" w:eastAsia="Times New Roman" w:hAnsi="Garamond" w:cs="Times New Roman"/>
                <w:sz w:val="16"/>
                <w:szCs w:val="16"/>
              </w:rPr>
              <w:t xml:space="preserve"> the </w:t>
            </w:r>
            <w:r w:rsidRPr="00860C2F">
              <w:rPr>
                <w:rFonts w:ascii="Garamond" w:eastAsia="Times New Roman" w:hAnsi="Garamond" w:cs="Times New Roman"/>
                <w:sz w:val="16"/>
                <w:szCs w:val="16"/>
              </w:rPr>
              <w:t>company’s pipelines and should generate more sales.</w:t>
            </w:r>
            <w:r>
              <w:rPr>
                <w:rFonts w:ascii="Garamond" w:eastAsia="Times New Roman" w:hAnsi="Garamond" w:cs="Times New Roman"/>
                <w:sz w:val="16"/>
                <w:szCs w:val="16"/>
              </w:rPr>
              <w:t xml:space="preserve"> To become the most advanced </w:t>
            </w:r>
            <w:r w:rsidRPr="00860C2F">
              <w:rPr>
                <w:rFonts w:ascii="Garamond" w:eastAsia="Times New Roman" w:hAnsi="Garamond" w:cs="Times New Roman"/>
                <w:sz w:val="16"/>
                <w:szCs w:val="16"/>
              </w:rPr>
              <w:t>pedicle screw system in</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the world is an area of focus for GMED. From a</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platform with a single system, GMED developed seven</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new systems in the last 18 month and expects to launch</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nine others in the next 18 months, positioning GMED</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as the biggest market player in this product. In addition,</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GMED plans to reward their sales representatives only</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on commissions so that they have an incentive to</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actually generate more sales, benefiting both the</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company and the representatives. Finally, the company</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forecasts a significant expansion in the years to come in</w:t>
            </w:r>
          </w:p>
          <w:p w:rsidR="00860C2F" w:rsidRPr="00860C2F" w:rsidRDefault="00860C2F" w:rsidP="00860C2F">
            <w:pPr>
              <w:rPr>
                <w:rFonts w:ascii="Garamond" w:eastAsia="Times New Roman" w:hAnsi="Garamond" w:cs="Times New Roman"/>
                <w:sz w:val="16"/>
                <w:szCs w:val="16"/>
              </w:rPr>
            </w:pPr>
            <w:proofErr w:type="gramStart"/>
            <w:r w:rsidRPr="00860C2F">
              <w:rPr>
                <w:rFonts w:ascii="Garamond" w:eastAsia="Times New Roman" w:hAnsi="Garamond" w:cs="Times New Roman"/>
                <w:sz w:val="16"/>
                <w:szCs w:val="16"/>
              </w:rPr>
              <w:t>both</w:t>
            </w:r>
            <w:proofErr w:type="gramEnd"/>
            <w:r w:rsidRPr="00860C2F">
              <w:rPr>
                <w:rFonts w:ascii="Garamond" w:eastAsia="Times New Roman" w:hAnsi="Garamond" w:cs="Times New Roman"/>
                <w:sz w:val="16"/>
                <w:szCs w:val="16"/>
              </w:rPr>
              <w:t xml:space="preserve"> its domestic and international market.</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All of these factors should push Globus Medical’s stock</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higher. The market seems to underestimate GMED’s</w:t>
            </w:r>
            <w:r>
              <w:rPr>
                <w:rFonts w:ascii="Garamond" w:eastAsia="Times New Roman" w:hAnsi="Garamond" w:cs="Times New Roman"/>
                <w:sz w:val="16"/>
                <w:szCs w:val="16"/>
              </w:rPr>
              <w:t xml:space="preserve"> </w:t>
            </w:r>
            <w:r w:rsidRPr="00860C2F">
              <w:rPr>
                <w:rFonts w:ascii="Garamond" w:eastAsia="Times New Roman" w:hAnsi="Garamond" w:cs="Times New Roman"/>
                <w:sz w:val="16"/>
                <w:szCs w:val="16"/>
              </w:rPr>
              <w:t>capacity to push CREO to the state of “most advanced</w:t>
            </w:r>
          </w:p>
          <w:p w:rsidR="00E208B6" w:rsidRPr="00E9058C" w:rsidRDefault="00860C2F" w:rsidP="00860C2F">
            <w:pPr>
              <w:rPr>
                <w:rFonts w:ascii="Garamond" w:eastAsia="Times New Roman" w:hAnsi="Garamond" w:cs="Times New Roman"/>
                <w:sz w:val="16"/>
                <w:szCs w:val="16"/>
              </w:rPr>
            </w:pPr>
            <w:proofErr w:type="gramStart"/>
            <w:r w:rsidRPr="00860C2F">
              <w:rPr>
                <w:rFonts w:ascii="Garamond" w:eastAsia="Times New Roman" w:hAnsi="Garamond" w:cs="Times New Roman"/>
                <w:sz w:val="16"/>
                <w:szCs w:val="16"/>
              </w:rPr>
              <w:t>product</w:t>
            </w:r>
            <w:proofErr w:type="gramEnd"/>
            <w:r w:rsidRPr="00860C2F">
              <w:rPr>
                <w:rFonts w:ascii="Garamond" w:eastAsia="Times New Roman" w:hAnsi="Garamond" w:cs="Times New Roman"/>
                <w:sz w:val="16"/>
                <w:szCs w:val="16"/>
              </w:rPr>
              <w:t xml:space="preserve"> worldwide” in the spine industry.</w:t>
            </w:r>
          </w:p>
        </w:tc>
        <w:tc>
          <w:tcPr>
            <w:tcW w:w="1087" w:type="dxa"/>
          </w:tcPr>
          <w:p w:rsidR="00E208B6" w:rsidRPr="00C820FA" w:rsidRDefault="00860C2F" w:rsidP="008B76BC">
            <w:pPr>
              <w:jc w:val="center"/>
              <w:rPr>
                <w:rFonts w:ascii="Garamond" w:hAnsi="Garamond"/>
                <w:sz w:val="20"/>
                <w:szCs w:val="20"/>
              </w:rPr>
            </w:pPr>
            <w:r>
              <w:rPr>
                <w:rFonts w:ascii="Garamond" w:hAnsi="Garamond"/>
                <w:sz w:val="20"/>
                <w:szCs w:val="20"/>
              </w:rPr>
              <w:t>$23.74</w:t>
            </w:r>
          </w:p>
        </w:tc>
        <w:tc>
          <w:tcPr>
            <w:tcW w:w="924" w:type="dxa"/>
          </w:tcPr>
          <w:p w:rsidR="00E208B6" w:rsidRPr="00C820FA" w:rsidRDefault="00860C2F" w:rsidP="008B76BC">
            <w:pPr>
              <w:jc w:val="center"/>
              <w:rPr>
                <w:rFonts w:ascii="Garamond" w:hAnsi="Garamond"/>
                <w:sz w:val="20"/>
                <w:szCs w:val="20"/>
              </w:rPr>
            </w:pPr>
            <w:r>
              <w:rPr>
                <w:rFonts w:ascii="Garamond" w:hAnsi="Garamond"/>
                <w:sz w:val="20"/>
                <w:szCs w:val="20"/>
              </w:rPr>
              <w:t>$32.00</w:t>
            </w:r>
          </w:p>
        </w:tc>
      </w:tr>
      <w:tr w:rsidR="00E208B6" w:rsidTr="005A400D">
        <w:trPr>
          <w:trHeight w:val="151"/>
        </w:trPr>
        <w:tc>
          <w:tcPr>
            <w:tcW w:w="1286" w:type="dxa"/>
          </w:tcPr>
          <w:p w:rsidR="00860C2F" w:rsidRDefault="00860C2F" w:rsidP="00860C2F">
            <w:pPr>
              <w:rPr>
                <w:sz w:val="18"/>
                <w:szCs w:val="18"/>
              </w:rPr>
            </w:pPr>
            <w:proofErr w:type="spellStart"/>
            <w:r>
              <w:rPr>
                <w:sz w:val="18"/>
                <w:szCs w:val="18"/>
              </w:rPr>
              <w:t>Glu</w:t>
            </w:r>
            <w:proofErr w:type="spellEnd"/>
            <w:r>
              <w:rPr>
                <w:sz w:val="18"/>
                <w:szCs w:val="18"/>
              </w:rPr>
              <w:t xml:space="preserve"> Mobile, </w:t>
            </w:r>
            <w:proofErr w:type="spellStart"/>
            <w:r>
              <w:rPr>
                <w:sz w:val="18"/>
                <w:szCs w:val="18"/>
              </w:rPr>
              <w:t>Inc</w:t>
            </w:r>
            <w:proofErr w:type="spellEnd"/>
          </w:p>
          <w:p w:rsidR="00860C2F" w:rsidRPr="00175F41" w:rsidRDefault="00860C2F" w:rsidP="00860C2F">
            <w:pPr>
              <w:rPr>
                <w:sz w:val="18"/>
                <w:szCs w:val="18"/>
              </w:rPr>
            </w:pPr>
            <w:r>
              <w:rPr>
                <w:sz w:val="18"/>
                <w:szCs w:val="18"/>
              </w:rPr>
              <w:t>(GLUU)</w:t>
            </w:r>
          </w:p>
          <w:p w:rsidR="00E9058C" w:rsidRPr="00175F41" w:rsidRDefault="00E9058C" w:rsidP="008B76BC">
            <w:pPr>
              <w:rPr>
                <w:sz w:val="18"/>
                <w:szCs w:val="18"/>
              </w:rPr>
            </w:pP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860C2F" w:rsidRPr="00860C2F" w:rsidRDefault="00860C2F" w:rsidP="00860C2F">
            <w:pPr>
              <w:rPr>
                <w:rFonts w:ascii="Garamond" w:eastAsia="Times New Roman" w:hAnsi="Garamond" w:cs="Times New Roman"/>
                <w:sz w:val="16"/>
                <w:szCs w:val="20"/>
              </w:rPr>
            </w:pPr>
            <w:proofErr w:type="spellStart"/>
            <w:r w:rsidRPr="00860C2F">
              <w:rPr>
                <w:rFonts w:ascii="Garamond" w:eastAsia="Times New Roman" w:hAnsi="Garamond" w:cs="Times New Roman"/>
                <w:sz w:val="16"/>
                <w:szCs w:val="20"/>
              </w:rPr>
              <w:t>Glu</w:t>
            </w:r>
            <w:proofErr w:type="spellEnd"/>
            <w:r w:rsidRPr="00860C2F">
              <w:rPr>
                <w:rFonts w:ascii="Garamond" w:eastAsia="Times New Roman" w:hAnsi="Garamond" w:cs="Times New Roman"/>
                <w:sz w:val="16"/>
                <w:szCs w:val="20"/>
              </w:rPr>
              <w:t xml:space="preserve"> Mobile is a leading global developer and publisher of free-to-play games for smartphone and tablet devices. With their recent announcements of partnerships with Hollywood celebrities, combined with their diversified portfolio of games and long-term growth opportunities, </w:t>
            </w:r>
            <w:proofErr w:type="spellStart"/>
            <w:r w:rsidRPr="00860C2F">
              <w:rPr>
                <w:rFonts w:ascii="Garamond" w:eastAsia="Times New Roman" w:hAnsi="Garamond" w:cs="Times New Roman"/>
                <w:sz w:val="16"/>
                <w:szCs w:val="20"/>
              </w:rPr>
              <w:t>Glu</w:t>
            </w:r>
            <w:proofErr w:type="spellEnd"/>
            <w:r w:rsidRPr="00860C2F">
              <w:rPr>
                <w:rFonts w:ascii="Garamond" w:eastAsia="Times New Roman" w:hAnsi="Garamond" w:cs="Times New Roman"/>
                <w:sz w:val="16"/>
                <w:szCs w:val="20"/>
              </w:rPr>
              <w:t xml:space="preserve"> mobile will continue to grow their EBITDA margins, and continue to generate value for the company and increase the price of their stock.</w:t>
            </w:r>
          </w:p>
          <w:p w:rsidR="00E208B6" w:rsidRPr="000F32DB" w:rsidRDefault="00E208B6" w:rsidP="008B76BC">
            <w:pPr>
              <w:jc w:val="both"/>
              <w:rPr>
                <w:rFonts w:ascii="Garamond" w:eastAsia="Arial" w:hAnsi="Garamond" w:cs="Arial"/>
                <w:color w:val="000000"/>
                <w:sz w:val="16"/>
                <w:szCs w:val="16"/>
              </w:rPr>
            </w:pPr>
          </w:p>
        </w:tc>
        <w:tc>
          <w:tcPr>
            <w:tcW w:w="1087" w:type="dxa"/>
          </w:tcPr>
          <w:p w:rsidR="00E208B6" w:rsidRPr="00C820FA" w:rsidRDefault="00860C2F" w:rsidP="008B76BC">
            <w:pPr>
              <w:jc w:val="center"/>
              <w:rPr>
                <w:rFonts w:ascii="Garamond" w:hAnsi="Garamond"/>
                <w:sz w:val="20"/>
                <w:szCs w:val="20"/>
              </w:rPr>
            </w:pPr>
            <w:r>
              <w:rPr>
                <w:rFonts w:ascii="Garamond" w:hAnsi="Garamond"/>
                <w:sz w:val="20"/>
                <w:szCs w:val="20"/>
              </w:rPr>
              <w:t>$4.84</w:t>
            </w:r>
          </w:p>
        </w:tc>
        <w:tc>
          <w:tcPr>
            <w:tcW w:w="924" w:type="dxa"/>
          </w:tcPr>
          <w:p w:rsidR="00E208B6" w:rsidRPr="00C820FA" w:rsidRDefault="00860C2F" w:rsidP="008B76BC">
            <w:pPr>
              <w:jc w:val="center"/>
              <w:rPr>
                <w:rFonts w:ascii="Garamond" w:hAnsi="Garamond"/>
                <w:sz w:val="20"/>
                <w:szCs w:val="20"/>
              </w:rPr>
            </w:pPr>
            <w:r>
              <w:rPr>
                <w:rFonts w:ascii="Garamond" w:hAnsi="Garamond"/>
                <w:sz w:val="20"/>
                <w:szCs w:val="20"/>
              </w:rPr>
              <w:t>$8.87</w:t>
            </w:r>
          </w:p>
        </w:tc>
      </w:tr>
      <w:tr w:rsidR="00E208B6" w:rsidTr="005A400D">
        <w:trPr>
          <w:trHeight w:val="151"/>
        </w:trPr>
        <w:tc>
          <w:tcPr>
            <w:tcW w:w="1286" w:type="dxa"/>
          </w:tcPr>
          <w:p w:rsidR="00860C2F" w:rsidRPr="00860C2F" w:rsidRDefault="00860C2F" w:rsidP="00860C2F">
            <w:pPr>
              <w:rPr>
                <w:rFonts w:ascii="Times" w:eastAsia="Times New Roman" w:hAnsi="Times" w:cs="Times New Roman"/>
                <w:sz w:val="20"/>
                <w:szCs w:val="20"/>
              </w:rPr>
            </w:pPr>
            <w:r w:rsidRPr="00860C2F">
              <w:rPr>
                <w:rFonts w:ascii="Times" w:eastAsia="Times New Roman" w:hAnsi="Times" w:cs="Times New Roman"/>
                <w:sz w:val="20"/>
                <w:szCs w:val="20"/>
              </w:rPr>
              <w:t>Huntsman Corp.</w:t>
            </w:r>
          </w:p>
          <w:p w:rsidR="00E9058C" w:rsidRPr="00175F41" w:rsidRDefault="00860C2F" w:rsidP="008B76BC">
            <w:pPr>
              <w:rPr>
                <w:sz w:val="18"/>
                <w:szCs w:val="18"/>
              </w:rPr>
            </w:pPr>
            <w:r>
              <w:rPr>
                <w:sz w:val="18"/>
                <w:szCs w:val="18"/>
              </w:rPr>
              <w:t>(HUN)</w:t>
            </w:r>
          </w:p>
        </w:tc>
        <w:tc>
          <w:tcPr>
            <w:tcW w:w="815" w:type="dxa"/>
          </w:tcPr>
          <w:p w:rsidR="00E208B6" w:rsidRPr="00C820FA" w:rsidRDefault="00FA76B2" w:rsidP="008B76BC">
            <w:pPr>
              <w:jc w:val="center"/>
              <w:rPr>
                <w:rFonts w:ascii="Garamond" w:hAnsi="Garamond"/>
                <w:sz w:val="24"/>
                <w:szCs w:val="24"/>
              </w:rPr>
            </w:pPr>
            <w:r>
              <w:rPr>
                <w:rFonts w:ascii="Garamond" w:hAnsi="Garamond"/>
                <w:sz w:val="24"/>
                <w:szCs w:val="24"/>
              </w:rPr>
              <w:t>Buy</w:t>
            </w:r>
          </w:p>
        </w:tc>
        <w:tc>
          <w:tcPr>
            <w:tcW w:w="5525" w:type="dxa"/>
          </w:tcPr>
          <w:p w:rsidR="00860C2F" w:rsidRPr="00860C2F" w:rsidRDefault="00860C2F" w:rsidP="00860C2F">
            <w:pPr>
              <w:rPr>
                <w:rFonts w:ascii="Garamond" w:eastAsia="Times New Roman" w:hAnsi="Garamond" w:cs="Times New Roman"/>
                <w:sz w:val="16"/>
                <w:szCs w:val="20"/>
              </w:rPr>
            </w:pPr>
            <w:r w:rsidRPr="00860C2F">
              <w:rPr>
                <w:rFonts w:ascii="Garamond" w:eastAsia="Times New Roman" w:hAnsi="Garamond" w:cs="Times New Roman"/>
                <w:sz w:val="16"/>
                <w:szCs w:val="20"/>
              </w:rPr>
              <w:t>Huntsman Corporation is a BUY because they are currently undervalued. During the drop in oil prices their stock followed the plunge due to concern about global growth in their industry. They have also had to battle other bearish catalysts, such as, negative TiO2 trends, and the diminishing price of the Euro. Although these negative catalysts are not good for the company it has given investors an opportunity to invest in a healthy company at a much better value.</w:t>
            </w:r>
          </w:p>
          <w:p w:rsidR="00E208B6" w:rsidRPr="00860C2F" w:rsidRDefault="00E208B6" w:rsidP="008B76BC">
            <w:pPr>
              <w:jc w:val="both"/>
              <w:rPr>
                <w:rFonts w:ascii="Garamond" w:eastAsia="Arial" w:hAnsi="Garamond" w:cs="Arial"/>
                <w:color w:val="000000"/>
                <w:sz w:val="16"/>
                <w:szCs w:val="16"/>
              </w:rPr>
            </w:pPr>
          </w:p>
        </w:tc>
        <w:tc>
          <w:tcPr>
            <w:tcW w:w="1087" w:type="dxa"/>
          </w:tcPr>
          <w:p w:rsidR="00E208B6" w:rsidRPr="00C820FA" w:rsidRDefault="00860C2F" w:rsidP="008B76BC">
            <w:pPr>
              <w:jc w:val="center"/>
              <w:rPr>
                <w:rFonts w:ascii="Garamond" w:hAnsi="Garamond"/>
                <w:sz w:val="20"/>
                <w:szCs w:val="20"/>
              </w:rPr>
            </w:pPr>
            <w:r>
              <w:rPr>
                <w:rFonts w:ascii="Garamond" w:hAnsi="Garamond"/>
                <w:sz w:val="20"/>
                <w:szCs w:val="20"/>
              </w:rPr>
              <w:t>$21.62</w:t>
            </w:r>
          </w:p>
        </w:tc>
        <w:tc>
          <w:tcPr>
            <w:tcW w:w="924" w:type="dxa"/>
          </w:tcPr>
          <w:p w:rsidR="00E208B6" w:rsidRPr="00C820FA" w:rsidRDefault="00860C2F" w:rsidP="008B76BC">
            <w:pPr>
              <w:jc w:val="center"/>
              <w:rPr>
                <w:rFonts w:ascii="Garamond" w:hAnsi="Garamond"/>
                <w:sz w:val="20"/>
                <w:szCs w:val="20"/>
              </w:rPr>
            </w:pPr>
            <w:r>
              <w:rPr>
                <w:rFonts w:ascii="Garamond" w:hAnsi="Garamond"/>
                <w:sz w:val="20"/>
                <w:szCs w:val="20"/>
              </w:rPr>
              <w:t>$31.56</w:t>
            </w:r>
          </w:p>
        </w:tc>
      </w:tr>
      <w:tr w:rsidR="00E208B6" w:rsidTr="005A400D">
        <w:trPr>
          <w:trHeight w:val="151"/>
        </w:trPr>
        <w:tc>
          <w:tcPr>
            <w:tcW w:w="1286" w:type="dxa"/>
          </w:tcPr>
          <w:p w:rsidR="00FA76B2" w:rsidRDefault="00860C2F" w:rsidP="008B76BC">
            <w:pPr>
              <w:rPr>
                <w:sz w:val="18"/>
                <w:szCs w:val="18"/>
              </w:rPr>
            </w:pPr>
            <w:r w:rsidRPr="00860C2F">
              <w:rPr>
                <w:sz w:val="18"/>
                <w:szCs w:val="18"/>
              </w:rPr>
              <w:t>LGI Homes, Inc.</w:t>
            </w:r>
          </w:p>
          <w:p w:rsidR="00860C2F" w:rsidRPr="00175F41" w:rsidRDefault="00860C2F" w:rsidP="008B76BC">
            <w:pPr>
              <w:rPr>
                <w:sz w:val="18"/>
                <w:szCs w:val="18"/>
              </w:rPr>
            </w:pPr>
            <w:r>
              <w:rPr>
                <w:sz w:val="18"/>
                <w:szCs w:val="18"/>
              </w:rPr>
              <w:t>(LGIH)</w:t>
            </w:r>
          </w:p>
        </w:tc>
        <w:tc>
          <w:tcPr>
            <w:tcW w:w="815" w:type="dxa"/>
          </w:tcPr>
          <w:p w:rsidR="00E208B6" w:rsidRPr="00C820FA" w:rsidRDefault="00E9058C"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860C2F" w:rsidRPr="00860C2F" w:rsidRDefault="00860C2F" w:rsidP="00860C2F">
            <w:pPr>
              <w:rPr>
                <w:rFonts w:ascii="Garamond" w:eastAsia="Times New Roman" w:hAnsi="Garamond" w:cs="Times New Roman"/>
                <w:sz w:val="16"/>
                <w:szCs w:val="20"/>
              </w:rPr>
            </w:pPr>
            <w:r w:rsidRPr="00860C2F">
              <w:rPr>
                <w:rFonts w:ascii="Garamond" w:eastAsia="Times New Roman" w:hAnsi="Garamond" w:cs="Times New Roman"/>
                <w:sz w:val="16"/>
                <w:szCs w:val="20"/>
              </w:rPr>
              <w:t xml:space="preserve">LGI Homes is a homebuilding company based in Texas with $388M of revenues. The company focuses on </w:t>
            </w:r>
            <w:proofErr w:type="spellStart"/>
            <w:r w:rsidRPr="00860C2F">
              <w:rPr>
                <w:rFonts w:ascii="Garamond" w:eastAsia="Times New Roman" w:hAnsi="Garamond" w:cs="Times New Roman"/>
                <w:sz w:val="16"/>
                <w:szCs w:val="20"/>
              </w:rPr>
              <w:t>entrylevel</w:t>
            </w:r>
            <w:proofErr w:type="spellEnd"/>
            <w:r w:rsidRPr="00860C2F">
              <w:rPr>
                <w:rFonts w:ascii="Garamond" w:eastAsia="Times New Roman" w:hAnsi="Garamond" w:cs="Times New Roman"/>
                <w:sz w:val="16"/>
                <w:szCs w:val="20"/>
              </w:rPr>
              <w:t xml:space="preserve"> homebuyers and has seen high growth coupled with high margins relative to peers over the past two years. However, the market seems to have overestimated the impact of declining energy prices on LGIH’s expected revenues, and has not taken into consideration the new mortgage policies announced in late 2014. For these reasons, LGI Homes is currently undervalued compared to its peers, creating a good opportunity for investors to enter into a long </w:t>
            </w:r>
            <w:r w:rsidRPr="00860C2F">
              <w:rPr>
                <w:rFonts w:ascii="Garamond" w:eastAsia="Times New Roman" w:hAnsi="Garamond" w:cs="Times New Roman"/>
                <w:sz w:val="16"/>
                <w:szCs w:val="20"/>
              </w:rPr>
              <w:lastRenderedPageBreak/>
              <w:t>position. A BUY is therefore recommended on LGI Homes with a 1-year target price of $21.00, representing a 38% upside potential from current market price.</w:t>
            </w:r>
          </w:p>
          <w:p w:rsidR="00E208B6" w:rsidRPr="000F32DB" w:rsidRDefault="00E208B6" w:rsidP="00E9058C">
            <w:pPr>
              <w:jc w:val="both"/>
              <w:rPr>
                <w:rFonts w:ascii="Garamond" w:eastAsia="Arial" w:hAnsi="Garamond" w:cs="Arial"/>
                <w:color w:val="000000"/>
                <w:sz w:val="16"/>
                <w:szCs w:val="16"/>
              </w:rPr>
            </w:pPr>
          </w:p>
        </w:tc>
        <w:tc>
          <w:tcPr>
            <w:tcW w:w="1087" w:type="dxa"/>
          </w:tcPr>
          <w:p w:rsidR="00E208B6" w:rsidRPr="00C820FA" w:rsidRDefault="00860C2F" w:rsidP="008B76BC">
            <w:pPr>
              <w:jc w:val="center"/>
              <w:rPr>
                <w:rFonts w:ascii="Garamond" w:hAnsi="Garamond"/>
                <w:sz w:val="20"/>
                <w:szCs w:val="20"/>
              </w:rPr>
            </w:pPr>
            <w:r>
              <w:rPr>
                <w:rFonts w:ascii="Garamond" w:hAnsi="Garamond"/>
                <w:sz w:val="20"/>
                <w:szCs w:val="20"/>
              </w:rPr>
              <w:lastRenderedPageBreak/>
              <w:t>$15.20</w:t>
            </w:r>
          </w:p>
        </w:tc>
        <w:tc>
          <w:tcPr>
            <w:tcW w:w="924" w:type="dxa"/>
          </w:tcPr>
          <w:p w:rsidR="00E208B6" w:rsidRPr="00C820FA" w:rsidRDefault="00860C2F" w:rsidP="008B76BC">
            <w:pPr>
              <w:jc w:val="center"/>
              <w:rPr>
                <w:rFonts w:ascii="Garamond" w:hAnsi="Garamond"/>
                <w:sz w:val="20"/>
                <w:szCs w:val="20"/>
              </w:rPr>
            </w:pPr>
            <w:r>
              <w:rPr>
                <w:rFonts w:ascii="Garamond" w:hAnsi="Garamond"/>
                <w:sz w:val="20"/>
                <w:szCs w:val="20"/>
              </w:rPr>
              <w:t>$21.00</w:t>
            </w:r>
          </w:p>
        </w:tc>
      </w:tr>
      <w:tr w:rsidR="00E208B6" w:rsidTr="005A400D">
        <w:trPr>
          <w:trHeight w:val="2059"/>
        </w:trPr>
        <w:tc>
          <w:tcPr>
            <w:tcW w:w="1286" w:type="dxa"/>
          </w:tcPr>
          <w:p w:rsidR="00FA76B2" w:rsidRDefault="00860C2F" w:rsidP="008B76BC">
            <w:pPr>
              <w:rPr>
                <w:sz w:val="18"/>
                <w:szCs w:val="18"/>
              </w:rPr>
            </w:pPr>
            <w:proofErr w:type="spellStart"/>
            <w:r w:rsidRPr="00860C2F">
              <w:rPr>
                <w:sz w:val="18"/>
                <w:szCs w:val="18"/>
              </w:rPr>
              <w:lastRenderedPageBreak/>
              <w:t>Mannatech</w:t>
            </w:r>
            <w:proofErr w:type="spellEnd"/>
            <w:r w:rsidRPr="00860C2F">
              <w:rPr>
                <w:sz w:val="18"/>
                <w:szCs w:val="18"/>
              </w:rPr>
              <w:t>, Inc.</w:t>
            </w:r>
          </w:p>
          <w:p w:rsidR="00860C2F" w:rsidRPr="00175F41" w:rsidRDefault="00860C2F" w:rsidP="008B76BC">
            <w:pPr>
              <w:rPr>
                <w:sz w:val="18"/>
                <w:szCs w:val="18"/>
              </w:rPr>
            </w:pPr>
            <w:r>
              <w:rPr>
                <w:sz w:val="18"/>
                <w:szCs w:val="18"/>
              </w:rPr>
              <w:t>(MTEX)</w:t>
            </w: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FD4146" w:rsidRPr="00FD4146" w:rsidRDefault="00FD4146" w:rsidP="00FD4146">
            <w:pPr>
              <w:rPr>
                <w:rFonts w:ascii="Garamond" w:eastAsia="Times New Roman" w:hAnsi="Garamond" w:cs="Times New Roman"/>
                <w:sz w:val="16"/>
                <w:szCs w:val="20"/>
              </w:rPr>
            </w:pPr>
            <w:r w:rsidRPr="00FD4146">
              <w:rPr>
                <w:rFonts w:ascii="Garamond" w:eastAsia="Times New Roman" w:hAnsi="Garamond" w:cs="Times New Roman"/>
                <w:sz w:val="16"/>
                <w:szCs w:val="20"/>
              </w:rPr>
              <w:t xml:space="preserve">Recently, </w:t>
            </w:r>
            <w:proofErr w:type="spellStart"/>
            <w:r w:rsidRPr="00FD4146">
              <w:rPr>
                <w:rFonts w:ascii="Garamond" w:eastAsia="Times New Roman" w:hAnsi="Garamond" w:cs="Times New Roman"/>
                <w:sz w:val="16"/>
                <w:szCs w:val="20"/>
              </w:rPr>
              <w:t>Mannatech</w:t>
            </w:r>
            <w:proofErr w:type="spellEnd"/>
            <w:r w:rsidRPr="00FD4146">
              <w:rPr>
                <w:rFonts w:ascii="Garamond" w:eastAsia="Times New Roman" w:hAnsi="Garamond" w:cs="Times New Roman"/>
                <w:sz w:val="16"/>
                <w:szCs w:val="20"/>
              </w:rPr>
              <w:t xml:space="preserve"> has launched new products that customers are currently enjoying. As a consequence, the company has increased its sales. That growth in revenue is a key driver for the reduction of operating costs and therefore, value creation. Also, </w:t>
            </w:r>
            <w:proofErr w:type="spellStart"/>
            <w:r w:rsidRPr="00FD4146">
              <w:rPr>
                <w:rFonts w:ascii="Garamond" w:eastAsia="Times New Roman" w:hAnsi="Garamond" w:cs="Times New Roman"/>
                <w:sz w:val="16"/>
                <w:szCs w:val="20"/>
              </w:rPr>
              <w:t>Mannatech</w:t>
            </w:r>
            <w:proofErr w:type="spellEnd"/>
            <w:r w:rsidRPr="00FD4146">
              <w:rPr>
                <w:rFonts w:ascii="Garamond" w:eastAsia="Times New Roman" w:hAnsi="Garamond" w:cs="Times New Roman"/>
                <w:sz w:val="16"/>
                <w:szCs w:val="20"/>
              </w:rPr>
              <w:t xml:space="preserve"> is working under the multilevel network system, a new system embraced by a greater number of companies to sell their products. Few years ago, the firm faced charges on some of its products and their ability to cure diseases; the firm ended up paying damages. However, this decision did not bring negative effects on the firm’s sales since. Another idea to consider is the idea that the firm has been targeting the Asian market as it appears to be the most promising market for the next coming years, followed by Europe. This geographic strategy should help at sustaining positive revenue growth.</w:t>
            </w:r>
          </w:p>
          <w:p w:rsidR="00D46042" w:rsidRPr="00D46042" w:rsidRDefault="00D46042" w:rsidP="00D46042">
            <w:pPr>
              <w:tabs>
                <w:tab w:val="left" w:pos="1200"/>
              </w:tabs>
              <w:jc w:val="both"/>
              <w:rPr>
                <w:rFonts w:ascii="Garamond" w:hAnsi="Garamond"/>
                <w:sz w:val="16"/>
                <w:szCs w:val="16"/>
              </w:rPr>
            </w:pPr>
          </w:p>
          <w:p w:rsidR="00E208B6" w:rsidRPr="00175F41" w:rsidRDefault="00E208B6" w:rsidP="008B76BC">
            <w:pPr>
              <w:jc w:val="both"/>
              <w:rPr>
                <w:rFonts w:ascii="Garamond" w:eastAsia="Arial" w:hAnsi="Garamond" w:cs="Arial"/>
                <w:color w:val="000000"/>
                <w:sz w:val="16"/>
                <w:szCs w:val="16"/>
              </w:rPr>
            </w:pPr>
          </w:p>
        </w:tc>
        <w:tc>
          <w:tcPr>
            <w:tcW w:w="1087" w:type="dxa"/>
          </w:tcPr>
          <w:p w:rsidR="00E208B6" w:rsidRPr="00C820FA" w:rsidRDefault="00E208B6" w:rsidP="00D46042">
            <w:pPr>
              <w:jc w:val="center"/>
              <w:rPr>
                <w:rFonts w:ascii="Garamond" w:hAnsi="Garamond"/>
                <w:sz w:val="20"/>
                <w:szCs w:val="20"/>
              </w:rPr>
            </w:pPr>
            <w:r w:rsidRPr="00C820FA">
              <w:rPr>
                <w:rFonts w:ascii="Garamond" w:hAnsi="Garamond"/>
                <w:sz w:val="20"/>
                <w:szCs w:val="20"/>
              </w:rPr>
              <w:t>$</w:t>
            </w:r>
            <w:r w:rsidR="00860C2F">
              <w:rPr>
                <w:rFonts w:ascii="Garamond" w:hAnsi="Garamond"/>
                <w:sz w:val="20"/>
                <w:szCs w:val="20"/>
              </w:rPr>
              <w:t>19.39</w:t>
            </w:r>
          </w:p>
        </w:tc>
        <w:tc>
          <w:tcPr>
            <w:tcW w:w="924" w:type="dxa"/>
          </w:tcPr>
          <w:p w:rsidR="00E208B6" w:rsidRPr="00C820FA" w:rsidRDefault="00860C2F" w:rsidP="00D46042">
            <w:pPr>
              <w:jc w:val="center"/>
              <w:rPr>
                <w:rFonts w:ascii="Garamond" w:hAnsi="Garamond"/>
                <w:sz w:val="20"/>
                <w:szCs w:val="20"/>
              </w:rPr>
            </w:pPr>
            <w:r>
              <w:rPr>
                <w:rFonts w:ascii="Garamond" w:hAnsi="Garamond"/>
                <w:sz w:val="20"/>
                <w:szCs w:val="20"/>
              </w:rPr>
              <w:t>$31.10</w:t>
            </w:r>
          </w:p>
        </w:tc>
      </w:tr>
      <w:tr w:rsidR="00E208B6" w:rsidTr="005A400D">
        <w:trPr>
          <w:trHeight w:val="1887"/>
        </w:trPr>
        <w:tc>
          <w:tcPr>
            <w:tcW w:w="1286" w:type="dxa"/>
          </w:tcPr>
          <w:p w:rsidR="00FD4146" w:rsidRPr="00FD4146" w:rsidRDefault="00FD4146" w:rsidP="00FD4146">
            <w:pPr>
              <w:rPr>
                <w:rFonts w:ascii="Times" w:eastAsia="Times New Roman" w:hAnsi="Times" w:cs="Times New Roman"/>
                <w:sz w:val="20"/>
                <w:szCs w:val="20"/>
              </w:rPr>
            </w:pPr>
            <w:r w:rsidRPr="00FD4146">
              <w:rPr>
                <w:rFonts w:ascii="Times" w:eastAsia="Times New Roman" w:hAnsi="Times" w:cs="Times New Roman"/>
                <w:sz w:val="20"/>
                <w:szCs w:val="20"/>
              </w:rPr>
              <w:t>Orchids Paper Products Company</w:t>
            </w:r>
          </w:p>
          <w:p w:rsidR="00E9058C" w:rsidRPr="00175F41" w:rsidRDefault="00FD4146" w:rsidP="008B76BC">
            <w:pPr>
              <w:rPr>
                <w:sz w:val="18"/>
                <w:szCs w:val="18"/>
              </w:rPr>
            </w:pPr>
            <w:r>
              <w:rPr>
                <w:sz w:val="18"/>
                <w:szCs w:val="18"/>
              </w:rPr>
              <w:t>(TIS)</w:t>
            </w:r>
          </w:p>
        </w:tc>
        <w:tc>
          <w:tcPr>
            <w:tcW w:w="815" w:type="dxa"/>
          </w:tcPr>
          <w:p w:rsidR="00E208B6" w:rsidRPr="00C820FA" w:rsidRDefault="005A400D"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FD4146" w:rsidRPr="00FD4146" w:rsidRDefault="00FD4146" w:rsidP="00FD4146">
            <w:pPr>
              <w:rPr>
                <w:rFonts w:ascii="Garamond" w:eastAsia="Times New Roman" w:hAnsi="Garamond" w:cs="Times New Roman"/>
                <w:sz w:val="16"/>
                <w:szCs w:val="20"/>
              </w:rPr>
            </w:pPr>
            <w:r w:rsidRPr="00FD4146">
              <w:rPr>
                <w:rFonts w:ascii="Garamond" w:eastAsia="Times New Roman" w:hAnsi="Garamond" w:cs="Times New Roman"/>
                <w:sz w:val="16"/>
                <w:szCs w:val="20"/>
              </w:rPr>
              <w:t>This company may not be the most exciting company on the American Exchange. However, the company is projecting expansion of its margins. More importantly, its stock is worth way more than its current price. The comparison between this stock’s past and current valuation multiples, as well as the fundamental valuation of the stock price, show that this company is significantly undervalued. Using a Monte Carlo simulation, this stock has a minimum target price greater than its current price, which suggests there is no downside risk. All of these methods point to a BUY for Orchid Paper Products Company.</w:t>
            </w:r>
          </w:p>
          <w:p w:rsidR="00E208B6" w:rsidRPr="00D46042" w:rsidRDefault="00E208B6" w:rsidP="005A400D">
            <w:pPr>
              <w:jc w:val="both"/>
              <w:rPr>
                <w:rFonts w:ascii="Garamond" w:eastAsia="Arial" w:hAnsi="Garamond" w:cs="Arial"/>
                <w:color w:val="000000"/>
                <w:sz w:val="16"/>
                <w:szCs w:val="16"/>
              </w:rPr>
            </w:pPr>
          </w:p>
        </w:tc>
        <w:tc>
          <w:tcPr>
            <w:tcW w:w="1087" w:type="dxa"/>
          </w:tcPr>
          <w:p w:rsidR="00E208B6" w:rsidRPr="00C820FA" w:rsidRDefault="00E208B6" w:rsidP="00D46042">
            <w:pPr>
              <w:jc w:val="center"/>
              <w:rPr>
                <w:rFonts w:ascii="Garamond" w:hAnsi="Garamond"/>
                <w:sz w:val="20"/>
                <w:szCs w:val="20"/>
              </w:rPr>
            </w:pPr>
            <w:r w:rsidRPr="00C820FA">
              <w:rPr>
                <w:rFonts w:ascii="Garamond" w:hAnsi="Garamond"/>
                <w:sz w:val="20"/>
                <w:szCs w:val="20"/>
              </w:rPr>
              <w:t>$</w:t>
            </w:r>
            <w:r w:rsidR="00FD4146">
              <w:rPr>
                <w:rFonts w:ascii="Garamond" w:hAnsi="Garamond"/>
                <w:sz w:val="20"/>
                <w:szCs w:val="20"/>
              </w:rPr>
              <w:t>26.57</w:t>
            </w:r>
          </w:p>
        </w:tc>
        <w:tc>
          <w:tcPr>
            <w:tcW w:w="924" w:type="dxa"/>
          </w:tcPr>
          <w:p w:rsidR="005A400D" w:rsidRDefault="00FD4146" w:rsidP="008B76BC">
            <w:pPr>
              <w:jc w:val="center"/>
              <w:rPr>
                <w:rFonts w:ascii="Garamond" w:hAnsi="Garamond"/>
                <w:sz w:val="20"/>
                <w:szCs w:val="20"/>
              </w:rPr>
            </w:pPr>
            <w:r>
              <w:rPr>
                <w:rFonts w:ascii="Garamond" w:hAnsi="Garamond"/>
                <w:sz w:val="20"/>
                <w:szCs w:val="20"/>
              </w:rPr>
              <w:t>$49.10</w:t>
            </w:r>
          </w:p>
          <w:p w:rsidR="005A400D" w:rsidRDefault="005A400D" w:rsidP="005A400D">
            <w:pPr>
              <w:rPr>
                <w:rFonts w:ascii="Garamond" w:hAnsi="Garamond"/>
                <w:sz w:val="20"/>
                <w:szCs w:val="20"/>
              </w:rPr>
            </w:pPr>
          </w:p>
          <w:p w:rsidR="00FD4146" w:rsidRDefault="00FD4146" w:rsidP="005A400D">
            <w:pPr>
              <w:rPr>
                <w:rFonts w:ascii="Garamond" w:hAnsi="Garamond"/>
                <w:sz w:val="20"/>
                <w:szCs w:val="20"/>
              </w:rPr>
            </w:pPr>
          </w:p>
          <w:p w:rsidR="00FD4146" w:rsidRDefault="00FD4146" w:rsidP="005A400D">
            <w:pPr>
              <w:rPr>
                <w:rFonts w:ascii="Garamond" w:hAnsi="Garamond"/>
                <w:sz w:val="20"/>
                <w:szCs w:val="20"/>
              </w:rPr>
            </w:pPr>
          </w:p>
          <w:p w:rsidR="00FD4146" w:rsidRDefault="00FD4146" w:rsidP="005A400D">
            <w:pPr>
              <w:rPr>
                <w:rFonts w:ascii="Garamond" w:hAnsi="Garamond"/>
                <w:sz w:val="20"/>
                <w:szCs w:val="20"/>
              </w:rPr>
            </w:pPr>
          </w:p>
          <w:p w:rsidR="00FD4146" w:rsidRDefault="00FD4146" w:rsidP="005A400D">
            <w:pPr>
              <w:rPr>
                <w:rFonts w:ascii="Garamond" w:hAnsi="Garamond"/>
                <w:sz w:val="20"/>
                <w:szCs w:val="20"/>
              </w:rPr>
            </w:pPr>
          </w:p>
          <w:p w:rsidR="00FD4146" w:rsidRPr="00C820FA" w:rsidRDefault="00FD4146" w:rsidP="005A400D">
            <w:pPr>
              <w:rPr>
                <w:rFonts w:ascii="Garamond" w:hAnsi="Garamond"/>
                <w:sz w:val="20"/>
                <w:szCs w:val="20"/>
              </w:rPr>
            </w:pPr>
          </w:p>
        </w:tc>
      </w:tr>
      <w:tr w:rsidR="00FD4146" w:rsidTr="005A400D">
        <w:trPr>
          <w:trHeight w:val="1887"/>
        </w:trPr>
        <w:tc>
          <w:tcPr>
            <w:tcW w:w="1286" w:type="dxa"/>
          </w:tcPr>
          <w:p w:rsidR="00FD4146" w:rsidRPr="00FD4146" w:rsidRDefault="00FD4146" w:rsidP="00FD4146">
            <w:pPr>
              <w:rPr>
                <w:rFonts w:ascii="Times" w:eastAsia="Times New Roman" w:hAnsi="Times" w:cs="Times New Roman"/>
                <w:sz w:val="20"/>
                <w:szCs w:val="20"/>
              </w:rPr>
            </w:pPr>
            <w:r w:rsidRPr="00FD4146">
              <w:rPr>
                <w:rFonts w:ascii="Times" w:eastAsia="Times New Roman" w:hAnsi="Times" w:cs="Times New Roman"/>
                <w:sz w:val="20"/>
                <w:szCs w:val="20"/>
              </w:rPr>
              <w:t>Smith &amp; Wesson Holding Cop</w:t>
            </w:r>
          </w:p>
          <w:p w:rsidR="00FD4146" w:rsidRPr="00FD4146" w:rsidRDefault="00FD4146" w:rsidP="00FD4146">
            <w:pPr>
              <w:rPr>
                <w:rFonts w:ascii="Times" w:eastAsia="Times New Roman" w:hAnsi="Times" w:cs="Times New Roman"/>
                <w:sz w:val="20"/>
                <w:szCs w:val="20"/>
              </w:rPr>
            </w:pPr>
            <w:r>
              <w:rPr>
                <w:rFonts w:ascii="Times" w:eastAsia="Times New Roman" w:hAnsi="Times" w:cs="Times New Roman"/>
                <w:sz w:val="20"/>
                <w:szCs w:val="20"/>
              </w:rPr>
              <w:t>(SWHC)</w:t>
            </w:r>
          </w:p>
        </w:tc>
        <w:tc>
          <w:tcPr>
            <w:tcW w:w="815" w:type="dxa"/>
          </w:tcPr>
          <w:p w:rsidR="00FD4146" w:rsidRDefault="00FD414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FD4146" w:rsidRPr="00FD4146" w:rsidRDefault="00FD4146" w:rsidP="00FD4146">
            <w:pPr>
              <w:rPr>
                <w:rFonts w:ascii="Garamond" w:eastAsia="Times New Roman" w:hAnsi="Garamond" w:cs="Times New Roman"/>
                <w:sz w:val="16"/>
                <w:szCs w:val="20"/>
              </w:rPr>
            </w:pPr>
            <w:r w:rsidRPr="00FD4146">
              <w:rPr>
                <w:rFonts w:ascii="Garamond" w:eastAsia="Times New Roman" w:hAnsi="Garamond" w:cs="Times New Roman"/>
                <w:sz w:val="16"/>
                <w:szCs w:val="20"/>
              </w:rPr>
              <w:t>Smith &amp; Wesson manufactures and sells firearms products top individual customers and professionals in the United States and internationally. The company is part of an industry than have been significantly growing over the past decade. In order to target new customers, the company had put an emphasis on research and development and marketing, by targeting women and first-time shooters. The company has recently pursued a vertical integration in order to be more competitive and more aggressively target its customers. Finally, the probability of a huge contract with the U.S. Army would eventually boost sales. With a very low P/E ratio, the company is currently undervalued.</w:t>
            </w:r>
          </w:p>
          <w:p w:rsidR="00FD4146" w:rsidRPr="00FD4146" w:rsidRDefault="00FD4146" w:rsidP="00FD4146">
            <w:pPr>
              <w:rPr>
                <w:rFonts w:ascii="Garamond" w:eastAsia="Times New Roman" w:hAnsi="Garamond" w:cs="Times New Roman"/>
                <w:sz w:val="16"/>
                <w:szCs w:val="20"/>
              </w:rPr>
            </w:pPr>
          </w:p>
        </w:tc>
        <w:tc>
          <w:tcPr>
            <w:tcW w:w="1087" w:type="dxa"/>
          </w:tcPr>
          <w:p w:rsidR="00FD4146" w:rsidRPr="00C820FA" w:rsidRDefault="00FD4146" w:rsidP="00D46042">
            <w:pPr>
              <w:jc w:val="center"/>
              <w:rPr>
                <w:rFonts w:ascii="Garamond" w:hAnsi="Garamond"/>
                <w:sz w:val="20"/>
                <w:szCs w:val="20"/>
              </w:rPr>
            </w:pPr>
            <w:r>
              <w:rPr>
                <w:rFonts w:ascii="Garamond" w:hAnsi="Garamond"/>
                <w:sz w:val="20"/>
                <w:szCs w:val="20"/>
              </w:rPr>
              <w:t>$13.00</w:t>
            </w:r>
          </w:p>
        </w:tc>
        <w:tc>
          <w:tcPr>
            <w:tcW w:w="924" w:type="dxa"/>
          </w:tcPr>
          <w:p w:rsidR="00FD4146" w:rsidRDefault="00FD4146" w:rsidP="008B76BC">
            <w:pPr>
              <w:jc w:val="center"/>
              <w:rPr>
                <w:rFonts w:ascii="Garamond" w:hAnsi="Garamond"/>
                <w:sz w:val="20"/>
                <w:szCs w:val="20"/>
              </w:rPr>
            </w:pPr>
            <w:r>
              <w:rPr>
                <w:rFonts w:ascii="Garamond" w:hAnsi="Garamond"/>
                <w:sz w:val="20"/>
                <w:szCs w:val="20"/>
              </w:rPr>
              <w:t>$24.74</w:t>
            </w:r>
          </w:p>
        </w:tc>
      </w:tr>
    </w:tbl>
    <w:p w:rsidR="00797FCC" w:rsidRDefault="00797FCC"/>
    <w:sectPr w:rsidR="00797FCC" w:rsidSect="00FD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DB"/>
    <w:rsid w:val="000F32DB"/>
    <w:rsid w:val="001021DB"/>
    <w:rsid w:val="001511D9"/>
    <w:rsid w:val="00162AD6"/>
    <w:rsid w:val="00175F41"/>
    <w:rsid w:val="001C55EE"/>
    <w:rsid w:val="0054731E"/>
    <w:rsid w:val="005A400D"/>
    <w:rsid w:val="00675616"/>
    <w:rsid w:val="00797FCC"/>
    <w:rsid w:val="00860C2F"/>
    <w:rsid w:val="008672FD"/>
    <w:rsid w:val="008B76BC"/>
    <w:rsid w:val="009468EC"/>
    <w:rsid w:val="00C820FA"/>
    <w:rsid w:val="00D03B56"/>
    <w:rsid w:val="00D46042"/>
    <w:rsid w:val="00DF0B75"/>
    <w:rsid w:val="00E0245E"/>
    <w:rsid w:val="00E208B6"/>
    <w:rsid w:val="00E9058C"/>
    <w:rsid w:val="00FA76B2"/>
    <w:rsid w:val="00FD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248">
      <w:bodyDiv w:val="1"/>
      <w:marLeft w:val="0"/>
      <w:marRight w:val="0"/>
      <w:marTop w:val="0"/>
      <w:marBottom w:val="0"/>
      <w:divBdr>
        <w:top w:val="none" w:sz="0" w:space="0" w:color="auto"/>
        <w:left w:val="none" w:sz="0" w:space="0" w:color="auto"/>
        <w:bottom w:val="none" w:sz="0" w:space="0" w:color="auto"/>
        <w:right w:val="none" w:sz="0" w:space="0" w:color="auto"/>
      </w:divBdr>
    </w:div>
    <w:div w:id="164903087">
      <w:bodyDiv w:val="1"/>
      <w:marLeft w:val="0"/>
      <w:marRight w:val="0"/>
      <w:marTop w:val="0"/>
      <w:marBottom w:val="0"/>
      <w:divBdr>
        <w:top w:val="none" w:sz="0" w:space="0" w:color="auto"/>
        <w:left w:val="none" w:sz="0" w:space="0" w:color="auto"/>
        <w:bottom w:val="none" w:sz="0" w:space="0" w:color="auto"/>
        <w:right w:val="none" w:sz="0" w:space="0" w:color="auto"/>
      </w:divBdr>
    </w:div>
    <w:div w:id="214853766">
      <w:bodyDiv w:val="1"/>
      <w:marLeft w:val="0"/>
      <w:marRight w:val="0"/>
      <w:marTop w:val="0"/>
      <w:marBottom w:val="0"/>
      <w:divBdr>
        <w:top w:val="none" w:sz="0" w:space="0" w:color="auto"/>
        <w:left w:val="none" w:sz="0" w:space="0" w:color="auto"/>
        <w:bottom w:val="none" w:sz="0" w:space="0" w:color="auto"/>
        <w:right w:val="none" w:sz="0" w:space="0" w:color="auto"/>
      </w:divBdr>
    </w:div>
    <w:div w:id="292055788">
      <w:bodyDiv w:val="1"/>
      <w:marLeft w:val="0"/>
      <w:marRight w:val="0"/>
      <w:marTop w:val="0"/>
      <w:marBottom w:val="0"/>
      <w:divBdr>
        <w:top w:val="none" w:sz="0" w:space="0" w:color="auto"/>
        <w:left w:val="none" w:sz="0" w:space="0" w:color="auto"/>
        <w:bottom w:val="none" w:sz="0" w:space="0" w:color="auto"/>
        <w:right w:val="none" w:sz="0" w:space="0" w:color="auto"/>
      </w:divBdr>
    </w:div>
    <w:div w:id="315912704">
      <w:bodyDiv w:val="1"/>
      <w:marLeft w:val="0"/>
      <w:marRight w:val="0"/>
      <w:marTop w:val="0"/>
      <w:marBottom w:val="0"/>
      <w:divBdr>
        <w:top w:val="none" w:sz="0" w:space="0" w:color="auto"/>
        <w:left w:val="none" w:sz="0" w:space="0" w:color="auto"/>
        <w:bottom w:val="none" w:sz="0" w:space="0" w:color="auto"/>
        <w:right w:val="none" w:sz="0" w:space="0" w:color="auto"/>
      </w:divBdr>
    </w:div>
    <w:div w:id="484704308">
      <w:bodyDiv w:val="1"/>
      <w:marLeft w:val="0"/>
      <w:marRight w:val="0"/>
      <w:marTop w:val="0"/>
      <w:marBottom w:val="0"/>
      <w:divBdr>
        <w:top w:val="none" w:sz="0" w:space="0" w:color="auto"/>
        <w:left w:val="none" w:sz="0" w:space="0" w:color="auto"/>
        <w:bottom w:val="none" w:sz="0" w:space="0" w:color="auto"/>
        <w:right w:val="none" w:sz="0" w:space="0" w:color="auto"/>
      </w:divBdr>
    </w:div>
    <w:div w:id="519587082">
      <w:bodyDiv w:val="1"/>
      <w:marLeft w:val="0"/>
      <w:marRight w:val="0"/>
      <w:marTop w:val="0"/>
      <w:marBottom w:val="0"/>
      <w:divBdr>
        <w:top w:val="none" w:sz="0" w:space="0" w:color="auto"/>
        <w:left w:val="none" w:sz="0" w:space="0" w:color="auto"/>
        <w:bottom w:val="none" w:sz="0" w:space="0" w:color="auto"/>
        <w:right w:val="none" w:sz="0" w:space="0" w:color="auto"/>
      </w:divBdr>
    </w:div>
    <w:div w:id="756169963">
      <w:bodyDiv w:val="1"/>
      <w:marLeft w:val="0"/>
      <w:marRight w:val="0"/>
      <w:marTop w:val="0"/>
      <w:marBottom w:val="0"/>
      <w:divBdr>
        <w:top w:val="none" w:sz="0" w:space="0" w:color="auto"/>
        <w:left w:val="none" w:sz="0" w:space="0" w:color="auto"/>
        <w:bottom w:val="none" w:sz="0" w:space="0" w:color="auto"/>
        <w:right w:val="none" w:sz="0" w:space="0" w:color="auto"/>
      </w:divBdr>
    </w:div>
    <w:div w:id="970555325">
      <w:bodyDiv w:val="1"/>
      <w:marLeft w:val="0"/>
      <w:marRight w:val="0"/>
      <w:marTop w:val="0"/>
      <w:marBottom w:val="0"/>
      <w:divBdr>
        <w:top w:val="none" w:sz="0" w:space="0" w:color="auto"/>
        <w:left w:val="none" w:sz="0" w:space="0" w:color="auto"/>
        <w:bottom w:val="none" w:sz="0" w:space="0" w:color="auto"/>
        <w:right w:val="none" w:sz="0" w:space="0" w:color="auto"/>
      </w:divBdr>
    </w:div>
    <w:div w:id="1003364584">
      <w:bodyDiv w:val="1"/>
      <w:marLeft w:val="0"/>
      <w:marRight w:val="0"/>
      <w:marTop w:val="0"/>
      <w:marBottom w:val="0"/>
      <w:divBdr>
        <w:top w:val="none" w:sz="0" w:space="0" w:color="auto"/>
        <w:left w:val="none" w:sz="0" w:space="0" w:color="auto"/>
        <w:bottom w:val="none" w:sz="0" w:space="0" w:color="auto"/>
        <w:right w:val="none" w:sz="0" w:space="0" w:color="auto"/>
      </w:divBdr>
    </w:div>
    <w:div w:id="1018388329">
      <w:bodyDiv w:val="1"/>
      <w:marLeft w:val="0"/>
      <w:marRight w:val="0"/>
      <w:marTop w:val="0"/>
      <w:marBottom w:val="0"/>
      <w:divBdr>
        <w:top w:val="none" w:sz="0" w:space="0" w:color="auto"/>
        <w:left w:val="none" w:sz="0" w:space="0" w:color="auto"/>
        <w:bottom w:val="none" w:sz="0" w:space="0" w:color="auto"/>
        <w:right w:val="none" w:sz="0" w:space="0" w:color="auto"/>
      </w:divBdr>
    </w:div>
    <w:div w:id="1123040211">
      <w:bodyDiv w:val="1"/>
      <w:marLeft w:val="0"/>
      <w:marRight w:val="0"/>
      <w:marTop w:val="0"/>
      <w:marBottom w:val="0"/>
      <w:divBdr>
        <w:top w:val="none" w:sz="0" w:space="0" w:color="auto"/>
        <w:left w:val="none" w:sz="0" w:space="0" w:color="auto"/>
        <w:bottom w:val="none" w:sz="0" w:space="0" w:color="auto"/>
        <w:right w:val="none" w:sz="0" w:space="0" w:color="auto"/>
      </w:divBdr>
    </w:div>
    <w:div w:id="1193036583">
      <w:bodyDiv w:val="1"/>
      <w:marLeft w:val="0"/>
      <w:marRight w:val="0"/>
      <w:marTop w:val="0"/>
      <w:marBottom w:val="0"/>
      <w:divBdr>
        <w:top w:val="none" w:sz="0" w:space="0" w:color="auto"/>
        <w:left w:val="none" w:sz="0" w:space="0" w:color="auto"/>
        <w:bottom w:val="none" w:sz="0" w:space="0" w:color="auto"/>
        <w:right w:val="none" w:sz="0" w:space="0" w:color="auto"/>
      </w:divBdr>
    </w:div>
    <w:div w:id="1257521593">
      <w:bodyDiv w:val="1"/>
      <w:marLeft w:val="0"/>
      <w:marRight w:val="0"/>
      <w:marTop w:val="0"/>
      <w:marBottom w:val="0"/>
      <w:divBdr>
        <w:top w:val="none" w:sz="0" w:space="0" w:color="auto"/>
        <w:left w:val="none" w:sz="0" w:space="0" w:color="auto"/>
        <w:bottom w:val="none" w:sz="0" w:space="0" w:color="auto"/>
        <w:right w:val="none" w:sz="0" w:space="0" w:color="auto"/>
      </w:divBdr>
    </w:div>
    <w:div w:id="1286235849">
      <w:bodyDiv w:val="1"/>
      <w:marLeft w:val="0"/>
      <w:marRight w:val="0"/>
      <w:marTop w:val="0"/>
      <w:marBottom w:val="0"/>
      <w:divBdr>
        <w:top w:val="none" w:sz="0" w:space="0" w:color="auto"/>
        <w:left w:val="none" w:sz="0" w:space="0" w:color="auto"/>
        <w:bottom w:val="none" w:sz="0" w:space="0" w:color="auto"/>
        <w:right w:val="none" w:sz="0" w:space="0" w:color="auto"/>
      </w:divBdr>
    </w:div>
    <w:div w:id="1367751509">
      <w:bodyDiv w:val="1"/>
      <w:marLeft w:val="0"/>
      <w:marRight w:val="0"/>
      <w:marTop w:val="0"/>
      <w:marBottom w:val="0"/>
      <w:divBdr>
        <w:top w:val="none" w:sz="0" w:space="0" w:color="auto"/>
        <w:left w:val="none" w:sz="0" w:space="0" w:color="auto"/>
        <w:bottom w:val="none" w:sz="0" w:space="0" w:color="auto"/>
        <w:right w:val="none" w:sz="0" w:space="0" w:color="auto"/>
      </w:divBdr>
    </w:div>
    <w:div w:id="1369650159">
      <w:bodyDiv w:val="1"/>
      <w:marLeft w:val="0"/>
      <w:marRight w:val="0"/>
      <w:marTop w:val="0"/>
      <w:marBottom w:val="0"/>
      <w:divBdr>
        <w:top w:val="none" w:sz="0" w:space="0" w:color="auto"/>
        <w:left w:val="none" w:sz="0" w:space="0" w:color="auto"/>
        <w:bottom w:val="none" w:sz="0" w:space="0" w:color="auto"/>
        <w:right w:val="none" w:sz="0" w:space="0" w:color="auto"/>
      </w:divBdr>
    </w:div>
    <w:div w:id="1371144467">
      <w:bodyDiv w:val="1"/>
      <w:marLeft w:val="0"/>
      <w:marRight w:val="0"/>
      <w:marTop w:val="0"/>
      <w:marBottom w:val="0"/>
      <w:divBdr>
        <w:top w:val="none" w:sz="0" w:space="0" w:color="auto"/>
        <w:left w:val="none" w:sz="0" w:space="0" w:color="auto"/>
        <w:bottom w:val="none" w:sz="0" w:space="0" w:color="auto"/>
        <w:right w:val="none" w:sz="0" w:space="0" w:color="auto"/>
      </w:divBdr>
    </w:div>
    <w:div w:id="1437486319">
      <w:bodyDiv w:val="1"/>
      <w:marLeft w:val="0"/>
      <w:marRight w:val="0"/>
      <w:marTop w:val="0"/>
      <w:marBottom w:val="0"/>
      <w:divBdr>
        <w:top w:val="none" w:sz="0" w:space="0" w:color="auto"/>
        <w:left w:val="none" w:sz="0" w:space="0" w:color="auto"/>
        <w:bottom w:val="none" w:sz="0" w:space="0" w:color="auto"/>
        <w:right w:val="none" w:sz="0" w:space="0" w:color="auto"/>
      </w:divBdr>
    </w:div>
    <w:div w:id="1476147675">
      <w:bodyDiv w:val="1"/>
      <w:marLeft w:val="0"/>
      <w:marRight w:val="0"/>
      <w:marTop w:val="0"/>
      <w:marBottom w:val="0"/>
      <w:divBdr>
        <w:top w:val="none" w:sz="0" w:space="0" w:color="auto"/>
        <w:left w:val="none" w:sz="0" w:space="0" w:color="auto"/>
        <w:bottom w:val="none" w:sz="0" w:space="0" w:color="auto"/>
        <w:right w:val="none" w:sz="0" w:space="0" w:color="auto"/>
      </w:divBdr>
    </w:div>
    <w:div w:id="1481388943">
      <w:bodyDiv w:val="1"/>
      <w:marLeft w:val="0"/>
      <w:marRight w:val="0"/>
      <w:marTop w:val="0"/>
      <w:marBottom w:val="0"/>
      <w:divBdr>
        <w:top w:val="none" w:sz="0" w:space="0" w:color="auto"/>
        <w:left w:val="none" w:sz="0" w:space="0" w:color="auto"/>
        <w:bottom w:val="none" w:sz="0" w:space="0" w:color="auto"/>
        <w:right w:val="none" w:sz="0" w:space="0" w:color="auto"/>
      </w:divBdr>
    </w:div>
    <w:div w:id="1544056092">
      <w:bodyDiv w:val="1"/>
      <w:marLeft w:val="0"/>
      <w:marRight w:val="0"/>
      <w:marTop w:val="0"/>
      <w:marBottom w:val="0"/>
      <w:divBdr>
        <w:top w:val="none" w:sz="0" w:space="0" w:color="auto"/>
        <w:left w:val="none" w:sz="0" w:space="0" w:color="auto"/>
        <w:bottom w:val="none" w:sz="0" w:space="0" w:color="auto"/>
        <w:right w:val="none" w:sz="0" w:space="0" w:color="auto"/>
      </w:divBdr>
    </w:div>
    <w:div w:id="1553924500">
      <w:bodyDiv w:val="1"/>
      <w:marLeft w:val="0"/>
      <w:marRight w:val="0"/>
      <w:marTop w:val="0"/>
      <w:marBottom w:val="0"/>
      <w:divBdr>
        <w:top w:val="none" w:sz="0" w:space="0" w:color="auto"/>
        <w:left w:val="none" w:sz="0" w:space="0" w:color="auto"/>
        <w:bottom w:val="none" w:sz="0" w:space="0" w:color="auto"/>
        <w:right w:val="none" w:sz="0" w:space="0" w:color="auto"/>
      </w:divBdr>
    </w:div>
    <w:div w:id="1563640361">
      <w:bodyDiv w:val="1"/>
      <w:marLeft w:val="0"/>
      <w:marRight w:val="0"/>
      <w:marTop w:val="0"/>
      <w:marBottom w:val="0"/>
      <w:divBdr>
        <w:top w:val="none" w:sz="0" w:space="0" w:color="auto"/>
        <w:left w:val="none" w:sz="0" w:space="0" w:color="auto"/>
        <w:bottom w:val="none" w:sz="0" w:space="0" w:color="auto"/>
        <w:right w:val="none" w:sz="0" w:space="0" w:color="auto"/>
      </w:divBdr>
    </w:div>
    <w:div w:id="1588689882">
      <w:bodyDiv w:val="1"/>
      <w:marLeft w:val="0"/>
      <w:marRight w:val="0"/>
      <w:marTop w:val="0"/>
      <w:marBottom w:val="0"/>
      <w:divBdr>
        <w:top w:val="none" w:sz="0" w:space="0" w:color="auto"/>
        <w:left w:val="none" w:sz="0" w:space="0" w:color="auto"/>
        <w:bottom w:val="none" w:sz="0" w:space="0" w:color="auto"/>
        <w:right w:val="none" w:sz="0" w:space="0" w:color="auto"/>
      </w:divBdr>
    </w:div>
    <w:div w:id="1606428199">
      <w:bodyDiv w:val="1"/>
      <w:marLeft w:val="0"/>
      <w:marRight w:val="0"/>
      <w:marTop w:val="0"/>
      <w:marBottom w:val="0"/>
      <w:divBdr>
        <w:top w:val="none" w:sz="0" w:space="0" w:color="auto"/>
        <w:left w:val="none" w:sz="0" w:space="0" w:color="auto"/>
        <w:bottom w:val="none" w:sz="0" w:space="0" w:color="auto"/>
        <w:right w:val="none" w:sz="0" w:space="0" w:color="auto"/>
      </w:divBdr>
    </w:div>
    <w:div w:id="1621453280">
      <w:bodyDiv w:val="1"/>
      <w:marLeft w:val="0"/>
      <w:marRight w:val="0"/>
      <w:marTop w:val="0"/>
      <w:marBottom w:val="0"/>
      <w:divBdr>
        <w:top w:val="none" w:sz="0" w:space="0" w:color="auto"/>
        <w:left w:val="none" w:sz="0" w:space="0" w:color="auto"/>
        <w:bottom w:val="none" w:sz="0" w:space="0" w:color="auto"/>
        <w:right w:val="none" w:sz="0" w:space="0" w:color="auto"/>
      </w:divBdr>
    </w:div>
    <w:div w:id="1890610864">
      <w:bodyDiv w:val="1"/>
      <w:marLeft w:val="0"/>
      <w:marRight w:val="0"/>
      <w:marTop w:val="0"/>
      <w:marBottom w:val="0"/>
      <w:divBdr>
        <w:top w:val="none" w:sz="0" w:space="0" w:color="auto"/>
        <w:left w:val="none" w:sz="0" w:space="0" w:color="auto"/>
        <w:bottom w:val="none" w:sz="0" w:space="0" w:color="auto"/>
        <w:right w:val="none" w:sz="0" w:space="0" w:color="auto"/>
      </w:divBdr>
    </w:div>
    <w:div w:id="1941179545">
      <w:bodyDiv w:val="1"/>
      <w:marLeft w:val="0"/>
      <w:marRight w:val="0"/>
      <w:marTop w:val="0"/>
      <w:marBottom w:val="0"/>
      <w:divBdr>
        <w:top w:val="none" w:sz="0" w:space="0" w:color="auto"/>
        <w:left w:val="none" w:sz="0" w:space="0" w:color="auto"/>
        <w:bottom w:val="none" w:sz="0" w:space="0" w:color="auto"/>
        <w:right w:val="none" w:sz="0" w:space="0" w:color="auto"/>
      </w:divBdr>
    </w:div>
    <w:div w:id="21071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Rajeski, Tyler</dc:creator>
  <cp:lastModifiedBy>Tyler</cp:lastModifiedBy>
  <cp:revision>2</cp:revision>
  <dcterms:created xsi:type="dcterms:W3CDTF">2015-03-29T21:12:00Z</dcterms:created>
  <dcterms:modified xsi:type="dcterms:W3CDTF">2015-03-29T21:12:00Z</dcterms:modified>
</cp:coreProperties>
</file>