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7"/>
        <w:tblW w:w="9637" w:type="dxa"/>
        <w:tblLayout w:type="fixed"/>
        <w:tblLook w:val="04A0" w:firstRow="1" w:lastRow="0" w:firstColumn="1" w:lastColumn="0" w:noHBand="0" w:noVBand="1"/>
      </w:tblPr>
      <w:tblGrid>
        <w:gridCol w:w="1286"/>
        <w:gridCol w:w="815"/>
        <w:gridCol w:w="5525"/>
        <w:gridCol w:w="1087"/>
        <w:gridCol w:w="924"/>
      </w:tblGrid>
      <w:tr w:rsidR="001021DB" w:rsidTr="005A400D">
        <w:trPr>
          <w:trHeight w:val="151"/>
        </w:trPr>
        <w:tc>
          <w:tcPr>
            <w:tcW w:w="1286" w:type="dxa"/>
          </w:tcPr>
          <w:p w:rsidR="00175F41" w:rsidRPr="00D03B56" w:rsidRDefault="00175F41" w:rsidP="008B76BC">
            <w:pPr>
              <w:rPr>
                <w:rFonts w:ascii="Garamond" w:hAnsi="Garamond"/>
                <w:b/>
                <w:sz w:val="18"/>
                <w:szCs w:val="18"/>
              </w:rPr>
            </w:pPr>
            <w:bookmarkStart w:id="0" w:name="_GoBack"/>
            <w:bookmarkEnd w:id="0"/>
            <w:r w:rsidRPr="00D03B56">
              <w:rPr>
                <w:rFonts w:ascii="Garamond" w:hAnsi="Garamond"/>
                <w:b/>
                <w:sz w:val="18"/>
                <w:szCs w:val="18"/>
              </w:rPr>
              <w:t>Stock</w:t>
            </w:r>
          </w:p>
        </w:tc>
        <w:tc>
          <w:tcPr>
            <w:tcW w:w="815" w:type="dxa"/>
          </w:tcPr>
          <w:p w:rsidR="00175F41" w:rsidRPr="00D03B56" w:rsidRDefault="00162AD6" w:rsidP="008B76BC">
            <w:pPr>
              <w:jc w:val="center"/>
              <w:rPr>
                <w:rFonts w:ascii="Garamond" w:hAnsi="Garamond"/>
                <w:b/>
                <w:sz w:val="18"/>
                <w:szCs w:val="18"/>
              </w:rPr>
            </w:pPr>
            <w:r>
              <w:rPr>
                <w:rFonts w:ascii="Garamond" w:hAnsi="Garamond"/>
                <w:b/>
                <w:sz w:val="18"/>
                <w:szCs w:val="18"/>
              </w:rPr>
              <w:t>Buy/ Short</w:t>
            </w:r>
          </w:p>
        </w:tc>
        <w:tc>
          <w:tcPr>
            <w:tcW w:w="5525"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Thesis</w:t>
            </w:r>
          </w:p>
        </w:tc>
        <w:tc>
          <w:tcPr>
            <w:tcW w:w="1087"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Current Price</w:t>
            </w:r>
          </w:p>
        </w:tc>
        <w:tc>
          <w:tcPr>
            <w:tcW w:w="924"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Target Price</w:t>
            </w:r>
          </w:p>
        </w:tc>
      </w:tr>
      <w:tr w:rsidR="001021DB" w:rsidTr="005A400D">
        <w:trPr>
          <w:trHeight w:val="151"/>
        </w:trPr>
        <w:tc>
          <w:tcPr>
            <w:tcW w:w="1286" w:type="dxa"/>
          </w:tcPr>
          <w:p w:rsidR="00175F41" w:rsidRDefault="0015505D" w:rsidP="008B76BC">
            <w:pPr>
              <w:rPr>
                <w:rFonts w:eastAsia="Times New Roman" w:cs="Times New Roman"/>
                <w:sz w:val="18"/>
                <w:szCs w:val="20"/>
              </w:rPr>
            </w:pPr>
            <w:r w:rsidRPr="0015505D">
              <w:rPr>
                <w:rFonts w:eastAsia="Times New Roman" w:cs="Times New Roman"/>
                <w:sz w:val="18"/>
                <w:szCs w:val="20"/>
              </w:rPr>
              <w:t xml:space="preserve">Crown Crafts, Inc. </w:t>
            </w:r>
          </w:p>
          <w:p w:rsidR="0015505D" w:rsidRPr="0015505D" w:rsidRDefault="0015505D" w:rsidP="008B76BC">
            <w:pPr>
              <w:rPr>
                <w:sz w:val="18"/>
                <w:szCs w:val="18"/>
              </w:rPr>
            </w:pPr>
            <w:r w:rsidRPr="0015505D">
              <w:rPr>
                <w:sz w:val="18"/>
                <w:szCs w:val="18"/>
              </w:rPr>
              <w:t>(CRWS)</w:t>
            </w:r>
          </w:p>
        </w:tc>
        <w:tc>
          <w:tcPr>
            <w:tcW w:w="815" w:type="dxa"/>
          </w:tcPr>
          <w:p w:rsidR="00175F41" w:rsidRPr="00C820FA" w:rsidRDefault="00162AD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15505D" w:rsidRPr="0015505D" w:rsidRDefault="0015505D" w:rsidP="0015505D">
            <w:pPr>
              <w:rPr>
                <w:rFonts w:ascii="Garamond" w:eastAsia="Times New Roman" w:hAnsi="Garamond" w:cs="Times New Roman"/>
                <w:sz w:val="16"/>
                <w:szCs w:val="20"/>
              </w:rPr>
            </w:pPr>
            <w:r w:rsidRPr="0015505D">
              <w:rPr>
                <w:rFonts w:ascii="Garamond" w:eastAsia="Times New Roman" w:hAnsi="Garamond" w:cs="Times New Roman"/>
                <w:sz w:val="16"/>
                <w:szCs w:val="20"/>
              </w:rPr>
              <w:t xml:space="preserve">Crown Crafts </w:t>
            </w:r>
            <w:proofErr w:type="spellStart"/>
            <w:r w:rsidRPr="0015505D">
              <w:rPr>
                <w:rFonts w:ascii="Garamond" w:eastAsia="Times New Roman" w:hAnsi="Garamond" w:cs="Times New Roman"/>
                <w:sz w:val="16"/>
                <w:szCs w:val="20"/>
              </w:rPr>
              <w:t>inc</w:t>
            </w:r>
            <w:proofErr w:type="spellEnd"/>
            <w:r w:rsidRPr="0015505D">
              <w:rPr>
                <w:rFonts w:ascii="Garamond" w:eastAsia="Times New Roman" w:hAnsi="Garamond" w:cs="Times New Roman"/>
                <w:sz w:val="16"/>
                <w:szCs w:val="20"/>
              </w:rPr>
              <w:t xml:space="preserve"> is undervalued compared to its peers and industry; the recommendation is to buy. The company is currently traded at $7.85 per shares and the target price is based on the </w:t>
            </w:r>
            <w:proofErr w:type="spellStart"/>
            <w:r w:rsidRPr="0015505D">
              <w:rPr>
                <w:rFonts w:ascii="Garamond" w:eastAsia="Times New Roman" w:hAnsi="Garamond" w:cs="Times New Roman"/>
                <w:sz w:val="16"/>
                <w:szCs w:val="20"/>
              </w:rPr>
              <w:t>proforma</w:t>
            </w:r>
            <w:proofErr w:type="spellEnd"/>
            <w:r w:rsidRPr="0015505D">
              <w:rPr>
                <w:rFonts w:ascii="Garamond" w:eastAsia="Times New Roman" w:hAnsi="Garamond" w:cs="Times New Roman"/>
                <w:sz w:val="16"/>
                <w:szCs w:val="20"/>
              </w:rPr>
              <w:t xml:space="preserve"> (presented at the end of the report) is $10.10, a potential upside of 30.32% with the dividend yield. The industry outlook shows that revenue is expected to grow due to an increase of consumption in the next few years. The company has no debt and is generating enough cash to make future profitable investments. CRWS has a competitive advantage allowing it to do better than its peers in terms of margin, liquidity and debt management. The firm has a favorable position to make acquisitions, expand product development, and increase shareholder value through higher dividends. CRWS proposes attractive dividend yields at 4.13%. When looking also at multiples, CRWS is undervalued based on relative valuation.</w:t>
            </w:r>
          </w:p>
          <w:p w:rsidR="00175F41" w:rsidRPr="00E9058C" w:rsidRDefault="00175F41" w:rsidP="00DF0B75">
            <w:pPr>
              <w:rPr>
                <w:rFonts w:ascii="Garamond" w:eastAsia="Times New Roman" w:hAnsi="Garamond" w:cs="Times New Roman"/>
                <w:sz w:val="16"/>
                <w:szCs w:val="16"/>
              </w:rPr>
            </w:pPr>
          </w:p>
        </w:tc>
        <w:tc>
          <w:tcPr>
            <w:tcW w:w="1087" w:type="dxa"/>
          </w:tcPr>
          <w:p w:rsidR="00175F41" w:rsidRPr="00C820FA" w:rsidRDefault="00175F41" w:rsidP="008B76BC">
            <w:pPr>
              <w:jc w:val="center"/>
              <w:rPr>
                <w:rFonts w:ascii="Garamond" w:hAnsi="Garamond"/>
                <w:sz w:val="20"/>
                <w:szCs w:val="20"/>
              </w:rPr>
            </w:pPr>
            <w:r w:rsidRPr="00C820FA">
              <w:rPr>
                <w:rFonts w:ascii="Garamond" w:hAnsi="Garamond"/>
                <w:sz w:val="20"/>
                <w:szCs w:val="20"/>
              </w:rPr>
              <w:t>$</w:t>
            </w:r>
            <w:r w:rsidR="0015505D">
              <w:rPr>
                <w:rFonts w:ascii="Garamond" w:hAnsi="Garamond"/>
                <w:sz w:val="20"/>
                <w:szCs w:val="20"/>
              </w:rPr>
              <w:t>7.99</w:t>
            </w:r>
          </w:p>
          <w:p w:rsidR="00175F41" w:rsidRPr="00C820FA" w:rsidRDefault="00175F41" w:rsidP="008B76BC">
            <w:pPr>
              <w:jc w:val="center"/>
              <w:rPr>
                <w:rFonts w:ascii="Garamond" w:hAnsi="Garamond"/>
                <w:sz w:val="20"/>
                <w:szCs w:val="20"/>
              </w:rPr>
            </w:pPr>
          </w:p>
        </w:tc>
        <w:tc>
          <w:tcPr>
            <w:tcW w:w="924" w:type="dxa"/>
          </w:tcPr>
          <w:p w:rsidR="00175F41" w:rsidRPr="00C820FA" w:rsidRDefault="0015505D" w:rsidP="008B76BC">
            <w:pPr>
              <w:jc w:val="center"/>
              <w:rPr>
                <w:rFonts w:ascii="Garamond" w:hAnsi="Garamond"/>
                <w:sz w:val="20"/>
                <w:szCs w:val="20"/>
              </w:rPr>
            </w:pPr>
            <w:r>
              <w:rPr>
                <w:rFonts w:ascii="Garamond" w:hAnsi="Garamond"/>
                <w:sz w:val="20"/>
                <w:szCs w:val="20"/>
              </w:rPr>
              <w:t>$10.10</w:t>
            </w:r>
          </w:p>
          <w:p w:rsidR="00175F41" w:rsidRPr="00C820FA" w:rsidRDefault="00175F41" w:rsidP="008B76BC">
            <w:pPr>
              <w:jc w:val="center"/>
              <w:rPr>
                <w:rFonts w:ascii="Garamond" w:hAnsi="Garamond"/>
                <w:sz w:val="20"/>
                <w:szCs w:val="20"/>
              </w:rPr>
            </w:pPr>
          </w:p>
        </w:tc>
      </w:tr>
      <w:tr w:rsidR="001021DB" w:rsidTr="005A400D">
        <w:trPr>
          <w:trHeight w:val="151"/>
        </w:trPr>
        <w:tc>
          <w:tcPr>
            <w:tcW w:w="1286" w:type="dxa"/>
          </w:tcPr>
          <w:p w:rsidR="0015505D" w:rsidRDefault="0015505D" w:rsidP="0015505D">
            <w:pPr>
              <w:rPr>
                <w:rFonts w:ascii="Times" w:eastAsia="Times New Roman" w:hAnsi="Times" w:cs="Times New Roman"/>
                <w:sz w:val="20"/>
                <w:szCs w:val="20"/>
              </w:rPr>
            </w:pPr>
            <w:proofErr w:type="spellStart"/>
            <w:r w:rsidRPr="0015505D">
              <w:rPr>
                <w:rFonts w:ascii="Times" w:eastAsia="Times New Roman" w:hAnsi="Times" w:cs="Times New Roman"/>
                <w:sz w:val="20"/>
                <w:szCs w:val="20"/>
              </w:rPr>
              <w:t>Digirad</w:t>
            </w:r>
            <w:proofErr w:type="spellEnd"/>
            <w:r w:rsidRPr="0015505D">
              <w:rPr>
                <w:rFonts w:ascii="Times" w:eastAsia="Times New Roman" w:hAnsi="Times" w:cs="Times New Roman"/>
                <w:sz w:val="20"/>
                <w:szCs w:val="20"/>
              </w:rPr>
              <w:t xml:space="preserve"> Corporation</w:t>
            </w:r>
          </w:p>
          <w:p w:rsidR="0015505D" w:rsidRPr="0015505D" w:rsidRDefault="0015505D" w:rsidP="0015505D">
            <w:pPr>
              <w:rPr>
                <w:rFonts w:ascii="Times" w:eastAsia="Times New Roman" w:hAnsi="Times" w:cs="Times New Roman"/>
                <w:sz w:val="20"/>
                <w:szCs w:val="20"/>
              </w:rPr>
            </w:pPr>
            <w:r>
              <w:rPr>
                <w:rFonts w:ascii="Times" w:eastAsia="Times New Roman" w:hAnsi="Times" w:cs="Times New Roman"/>
                <w:sz w:val="20"/>
                <w:szCs w:val="20"/>
              </w:rPr>
              <w:t>(DRAD)</w:t>
            </w:r>
          </w:p>
          <w:p w:rsidR="00DF0B75" w:rsidRPr="00DF0B75" w:rsidRDefault="00DF0B75" w:rsidP="00DF0B75">
            <w:pPr>
              <w:rPr>
                <w:rFonts w:eastAsia="Times New Roman" w:cs="Times New Roman"/>
                <w:sz w:val="18"/>
                <w:szCs w:val="20"/>
              </w:rPr>
            </w:pPr>
          </w:p>
          <w:p w:rsidR="00E9058C" w:rsidRPr="00175F41" w:rsidRDefault="00E9058C" w:rsidP="008B76BC">
            <w:pPr>
              <w:rPr>
                <w:sz w:val="18"/>
                <w:szCs w:val="18"/>
              </w:rPr>
            </w:pPr>
          </w:p>
        </w:tc>
        <w:tc>
          <w:tcPr>
            <w:tcW w:w="815" w:type="dxa"/>
          </w:tcPr>
          <w:p w:rsidR="00175F41" w:rsidRPr="00C820FA" w:rsidRDefault="00E9058C" w:rsidP="00DF0B75">
            <w:pPr>
              <w:jc w:val="center"/>
              <w:rPr>
                <w:rFonts w:ascii="Garamond" w:hAnsi="Garamond"/>
                <w:sz w:val="24"/>
                <w:szCs w:val="24"/>
              </w:rPr>
            </w:pPr>
            <w:r>
              <w:rPr>
                <w:rFonts w:ascii="Garamond" w:hAnsi="Garamond"/>
                <w:sz w:val="24"/>
                <w:szCs w:val="24"/>
              </w:rPr>
              <w:t xml:space="preserve">Buy </w:t>
            </w:r>
          </w:p>
        </w:tc>
        <w:tc>
          <w:tcPr>
            <w:tcW w:w="5525" w:type="dxa"/>
          </w:tcPr>
          <w:p w:rsidR="0015505D" w:rsidRPr="0015505D" w:rsidRDefault="0015505D" w:rsidP="0015505D">
            <w:pPr>
              <w:rPr>
                <w:rFonts w:ascii="Garamond" w:eastAsia="Times New Roman" w:hAnsi="Garamond" w:cs="Times New Roman"/>
                <w:sz w:val="16"/>
                <w:szCs w:val="16"/>
              </w:rPr>
            </w:pPr>
            <w:proofErr w:type="spellStart"/>
            <w:r w:rsidRPr="0015505D">
              <w:rPr>
                <w:rFonts w:ascii="Garamond" w:eastAsia="Times New Roman" w:hAnsi="Garamond" w:cs="Times New Roman"/>
                <w:sz w:val="16"/>
                <w:szCs w:val="16"/>
              </w:rPr>
              <w:t>Digirad</w:t>
            </w:r>
            <w:proofErr w:type="spellEnd"/>
            <w:r w:rsidRPr="0015505D">
              <w:rPr>
                <w:rFonts w:ascii="Garamond" w:eastAsia="Times New Roman" w:hAnsi="Garamond" w:cs="Times New Roman"/>
                <w:sz w:val="16"/>
                <w:szCs w:val="16"/>
              </w:rPr>
              <w:t xml:space="preserve"> Corporation provides diagnostic solutions to physicians and hospitals in the United States. It has a diversified portfolio of products and services that includes full-suite tailored imaging solutions, cardiac monitoring services, solid-state nuclear cameras sales, and after sale support. </w:t>
            </w:r>
            <w:proofErr w:type="spellStart"/>
            <w:r w:rsidRPr="0015505D">
              <w:rPr>
                <w:rFonts w:ascii="Garamond" w:eastAsia="Times New Roman" w:hAnsi="Garamond" w:cs="Times New Roman"/>
                <w:sz w:val="16"/>
                <w:szCs w:val="16"/>
              </w:rPr>
              <w:t>Digirad</w:t>
            </w:r>
            <w:proofErr w:type="spellEnd"/>
            <w:r w:rsidRPr="0015505D">
              <w:rPr>
                <w:rFonts w:ascii="Garamond" w:eastAsia="Times New Roman" w:hAnsi="Garamond" w:cs="Times New Roman"/>
                <w:sz w:val="16"/>
                <w:szCs w:val="16"/>
              </w:rPr>
              <w:t xml:space="preserve"> Corporation has a solid growth strategy through product diversification and a track record of well-executed acquisitions. As of December 31, 2014, </w:t>
            </w:r>
            <w:proofErr w:type="spellStart"/>
            <w:r w:rsidRPr="0015505D">
              <w:rPr>
                <w:rFonts w:ascii="Garamond" w:eastAsia="Times New Roman" w:hAnsi="Garamond" w:cs="Times New Roman"/>
                <w:sz w:val="16"/>
                <w:szCs w:val="16"/>
              </w:rPr>
              <w:t>Digirad</w:t>
            </w:r>
            <w:proofErr w:type="spellEnd"/>
            <w:r w:rsidRPr="0015505D">
              <w:rPr>
                <w:rFonts w:ascii="Garamond" w:eastAsia="Times New Roman" w:hAnsi="Garamond" w:cs="Times New Roman"/>
                <w:sz w:val="16"/>
                <w:szCs w:val="16"/>
              </w:rPr>
              <w:t xml:space="preserve"> had almost $22 million in cash and was debt free. The company also pays a quarterly dividend of 5 cents per share, which is unusual for low priced stocks</w:t>
            </w:r>
          </w:p>
          <w:p w:rsidR="00175F41" w:rsidRPr="008B76BC" w:rsidRDefault="00175F41" w:rsidP="008B76BC">
            <w:pPr>
              <w:jc w:val="both"/>
              <w:rPr>
                <w:rFonts w:ascii="Garamond" w:hAnsi="Garamond"/>
                <w:sz w:val="16"/>
                <w:szCs w:val="16"/>
              </w:rPr>
            </w:pPr>
          </w:p>
        </w:tc>
        <w:tc>
          <w:tcPr>
            <w:tcW w:w="1087" w:type="dxa"/>
          </w:tcPr>
          <w:p w:rsidR="00175F41" w:rsidRPr="00C820FA" w:rsidRDefault="00E9058C" w:rsidP="00DF0B75">
            <w:pPr>
              <w:jc w:val="center"/>
              <w:rPr>
                <w:rFonts w:ascii="Garamond" w:hAnsi="Garamond"/>
                <w:sz w:val="20"/>
                <w:szCs w:val="20"/>
              </w:rPr>
            </w:pPr>
            <w:r>
              <w:rPr>
                <w:rFonts w:ascii="Garamond" w:hAnsi="Garamond"/>
                <w:sz w:val="20"/>
                <w:szCs w:val="20"/>
              </w:rPr>
              <w:t>$</w:t>
            </w:r>
            <w:r w:rsidR="0015505D">
              <w:rPr>
                <w:rFonts w:ascii="Garamond" w:hAnsi="Garamond"/>
                <w:sz w:val="20"/>
                <w:szCs w:val="20"/>
              </w:rPr>
              <w:t>4.52</w:t>
            </w:r>
          </w:p>
        </w:tc>
        <w:tc>
          <w:tcPr>
            <w:tcW w:w="924" w:type="dxa"/>
          </w:tcPr>
          <w:p w:rsidR="00175F41" w:rsidRPr="00C820FA" w:rsidRDefault="0015505D" w:rsidP="008B76BC">
            <w:pPr>
              <w:jc w:val="center"/>
              <w:rPr>
                <w:rFonts w:ascii="Garamond" w:hAnsi="Garamond"/>
                <w:sz w:val="20"/>
                <w:szCs w:val="20"/>
              </w:rPr>
            </w:pPr>
            <w:r>
              <w:rPr>
                <w:rFonts w:ascii="Garamond" w:hAnsi="Garamond"/>
                <w:sz w:val="20"/>
                <w:szCs w:val="20"/>
              </w:rPr>
              <w:t>$6.30</w:t>
            </w:r>
          </w:p>
        </w:tc>
      </w:tr>
      <w:tr w:rsidR="001021DB" w:rsidTr="005A400D">
        <w:trPr>
          <w:trHeight w:val="151"/>
        </w:trPr>
        <w:tc>
          <w:tcPr>
            <w:tcW w:w="1286" w:type="dxa"/>
          </w:tcPr>
          <w:p w:rsidR="00DF0B75" w:rsidRDefault="0015505D" w:rsidP="00DF0B75">
            <w:pPr>
              <w:rPr>
                <w:rFonts w:eastAsia="Times New Roman" w:cs="Times New Roman"/>
                <w:sz w:val="18"/>
                <w:szCs w:val="20"/>
              </w:rPr>
            </w:pPr>
            <w:r w:rsidRPr="0015505D">
              <w:rPr>
                <w:rFonts w:eastAsia="Times New Roman" w:cs="Times New Roman"/>
                <w:sz w:val="18"/>
                <w:szCs w:val="20"/>
              </w:rPr>
              <w:t>Enphase Energy, Inc.</w:t>
            </w:r>
          </w:p>
          <w:p w:rsidR="0015505D" w:rsidRPr="00DF0B75" w:rsidRDefault="0015505D" w:rsidP="00DF0B75">
            <w:pPr>
              <w:rPr>
                <w:rFonts w:eastAsia="Times New Roman" w:cs="Times New Roman"/>
                <w:sz w:val="20"/>
                <w:szCs w:val="20"/>
              </w:rPr>
            </w:pPr>
            <w:r>
              <w:rPr>
                <w:rFonts w:eastAsia="Times New Roman" w:cs="Times New Roman"/>
                <w:sz w:val="18"/>
                <w:szCs w:val="20"/>
              </w:rPr>
              <w:t>(ENPH)</w:t>
            </w:r>
          </w:p>
          <w:p w:rsidR="00E9058C" w:rsidRPr="00175F41" w:rsidRDefault="00E9058C" w:rsidP="008B76BC">
            <w:pPr>
              <w:rPr>
                <w:sz w:val="18"/>
                <w:szCs w:val="18"/>
              </w:rPr>
            </w:pPr>
          </w:p>
        </w:tc>
        <w:tc>
          <w:tcPr>
            <w:tcW w:w="815" w:type="dxa"/>
          </w:tcPr>
          <w:p w:rsidR="00175F41" w:rsidRPr="00C820FA" w:rsidRDefault="00162AD6" w:rsidP="008B76BC">
            <w:pPr>
              <w:jc w:val="center"/>
              <w:rPr>
                <w:sz w:val="24"/>
                <w:szCs w:val="24"/>
              </w:rPr>
            </w:pPr>
            <w:r>
              <w:rPr>
                <w:sz w:val="24"/>
                <w:szCs w:val="24"/>
              </w:rPr>
              <w:t>Buy</w:t>
            </w:r>
          </w:p>
        </w:tc>
        <w:tc>
          <w:tcPr>
            <w:tcW w:w="5525" w:type="dxa"/>
          </w:tcPr>
          <w:p w:rsidR="0015505D" w:rsidRPr="0015505D" w:rsidRDefault="0015505D" w:rsidP="0015505D">
            <w:pPr>
              <w:rPr>
                <w:rFonts w:ascii="Garamond" w:eastAsia="Times New Roman" w:hAnsi="Garamond" w:cs="Times New Roman"/>
                <w:sz w:val="16"/>
                <w:szCs w:val="20"/>
              </w:rPr>
            </w:pPr>
            <w:r w:rsidRPr="0015505D">
              <w:rPr>
                <w:rFonts w:ascii="Garamond" w:eastAsia="Times New Roman" w:hAnsi="Garamond" w:cs="Times New Roman"/>
                <w:sz w:val="16"/>
                <w:szCs w:val="20"/>
              </w:rPr>
              <w:t xml:space="preserve">Enphase Energy is the leader in </w:t>
            </w:r>
            <w:proofErr w:type="spellStart"/>
            <w:r w:rsidRPr="0015505D">
              <w:rPr>
                <w:rFonts w:ascii="Garamond" w:eastAsia="Times New Roman" w:hAnsi="Garamond" w:cs="Times New Roman"/>
                <w:sz w:val="16"/>
                <w:szCs w:val="20"/>
              </w:rPr>
              <w:t>microinverter</w:t>
            </w:r>
            <w:proofErr w:type="spellEnd"/>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technology for the photovoltaic industry and will</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continue to be with their continuous product innovation.</w:t>
            </w:r>
          </w:p>
          <w:p w:rsidR="0015505D" w:rsidRPr="0015505D" w:rsidRDefault="0015505D" w:rsidP="0015505D">
            <w:pPr>
              <w:rPr>
                <w:rFonts w:ascii="Garamond" w:eastAsia="Times New Roman" w:hAnsi="Garamond" w:cs="Times New Roman"/>
                <w:sz w:val="16"/>
                <w:szCs w:val="20"/>
              </w:rPr>
            </w:pPr>
            <w:r w:rsidRPr="0015505D">
              <w:rPr>
                <w:rFonts w:ascii="Garamond" w:eastAsia="Times New Roman" w:hAnsi="Garamond" w:cs="Times New Roman"/>
                <w:sz w:val="16"/>
                <w:szCs w:val="20"/>
              </w:rPr>
              <w:t>They have rapidly grown with revenue increasing 47%</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from 2013 to 2014. Enphase will continue to grow due</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to their increasing market share domestically and</w:t>
            </w:r>
          </w:p>
          <w:p w:rsidR="0015505D"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internationally</w:t>
            </w:r>
            <w:proofErr w:type="gramEnd"/>
            <w:r w:rsidRPr="0015505D">
              <w:rPr>
                <w:rFonts w:ascii="Garamond" w:eastAsia="Times New Roman" w:hAnsi="Garamond" w:cs="Times New Roman"/>
                <w:sz w:val="16"/>
                <w:szCs w:val="20"/>
              </w:rPr>
              <w:t>. As well, Enphase is increasing their</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customer diversification by expanding to commercial</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businesses, fueling more growth. As Enphase moves</w:t>
            </w:r>
          </w:p>
          <w:p w:rsidR="00175F41"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forward</w:t>
            </w:r>
            <w:proofErr w:type="gramEnd"/>
            <w:r w:rsidRPr="0015505D">
              <w:rPr>
                <w:rFonts w:ascii="Garamond" w:eastAsia="Times New Roman" w:hAnsi="Garamond" w:cs="Times New Roman"/>
                <w:sz w:val="16"/>
                <w:szCs w:val="20"/>
              </w:rPr>
              <w:t xml:space="preserve"> in the next year margins are expected to</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improve as revenue grows and costs reduction plans</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 xml:space="preserve">continue. </w:t>
            </w:r>
          </w:p>
        </w:tc>
        <w:tc>
          <w:tcPr>
            <w:tcW w:w="1087" w:type="dxa"/>
          </w:tcPr>
          <w:p w:rsidR="00175F41" w:rsidRPr="00C820FA" w:rsidRDefault="0015505D" w:rsidP="008B76BC">
            <w:pPr>
              <w:jc w:val="center"/>
              <w:rPr>
                <w:rFonts w:ascii="Garamond" w:hAnsi="Garamond"/>
                <w:sz w:val="20"/>
                <w:szCs w:val="20"/>
              </w:rPr>
            </w:pPr>
            <w:r>
              <w:rPr>
                <w:rFonts w:ascii="Garamond" w:hAnsi="Garamond"/>
                <w:sz w:val="20"/>
                <w:szCs w:val="20"/>
              </w:rPr>
              <w:t>$13.17</w:t>
            </w:r>
          </w:p>
        </w:tc>
        <w:tc>
          <w:tcPr>
            <w:tcW w:w="924" w:type="dxa"/>
          </w:tcPr>
          <w:p w:rsidR="00175F41" w:rsidRPr="00C820FA" w:rsidRDefault="0015505D" w:rsidP="008B76BC">
            <w:pPr>
              <w:jc w:val="center"/>
              <w:rPr>
                <w:rFonts w:ascii="Garamond" w:hAnsi="Garamond"/>
                <w:sz w:val="20"/>
                <w:szCs w:val="20"/>
              </w:rPr>
            </w:pPr>
            <w:r>
              <w:rPr>
                <w:rFonts w:ascii="Garamond" w:hAnsi="Garamond"/>
                <w:sz w:val="20"/>
                <w:szCs w:val="20"/>
              </w:rPr>
              <w:t>16.50</w:t>
            </w:r>
          </w:p>
        </w:tc>
      </w:tr>
      <w:tr w:rsidR="00E208B6" w:rsidTr="005A400D">
        <w:trPr>
          <w:trHeight w:val="151"/>
        </w:trPr>
        <w:tc>
          <w:tcPr>
            <w:tcW w:w="1286" w:type="dxa"/>
          </w:tcPr>
          <w:p w:rsidR="00860C2F" w:rsidRDefault="0015505D" w:rsidP="008B76BC">
            <w:pPr>
              <w:rPr>
                <w:sz w:val="18"/>
                <w:szCs w:val="18"/>
              </w:rPr>
            </w:pPr>
            <w:r>
              <w:rPr>
                <w:sz w:val="18"/>
                <w:szCs w:val="18"/>
              </w:rPr>
              <w:t>Groupon</w:t>
            </w:r>
          </w:p>
          <w:p w:rsidR="0015505D" w:rsidRDefault="0015505D" w:rsidP="008B76BC">
            <w:pPr>
              <w:rPr>
                <w:sz w:val="18"/>
                <w:szCs w:val="18"/>
              </w:rPr>
            </w:pPr>
            <w:r>
              <w:rPr>
                <w:sz w:val="18"/>
                <w:szCs w:val="18"/>
              </w:rPr>
              <w:t>(GRPN)</w:t>
            </w:r>
          </w:p>
          <w:p w:rsidR="00860C2F" w:rsidRPr="00175F41" w:rsidRDefault="00860C2F" w:rsidP="008B76BC">
            <w:pPr>
              <w:rPr>
                <w:sz w:val="18"/>
                <w:szCs w:val="18"/>
              </w:rPr>
            </w:pPr>
          </w:p>
        </w:tc>
        <w:tc>
          <w:tcPr>
            <w:tcW w:w="815" w:type="dxa"/>
          </w:tcPr>
          <w:p w:rsidR="00E208B6" w:rsidRPr="00C820FA" w:rsidRDefault="00FA76B2" w:rsidP="008B76BC">
            <w:pPr>
              <w:jc w:val="center"/>
              <w:rPr>
                <w:sz w:val="24"/>
                <w:szCs w:val="24"/>
              </w:rPr>
            </w:pPr>
            <w:r>
              <w:rPr>
                <w:sz w:val="24"/>
                <w:szCs w:val="24"/>
              </w:rPr>
              <w:t>Buy</w:t>
            </w:r>
          </w:p>
        </w:tc>
        <w:tc>
          <w:tcPr>
            <w:tcW w:w="5525" w:type="dxa"/>
          </w:tcPr>
          <w:p w:rsidR="0015505D" w:rsidRPr="0015505D" w:rsidRDefault="0015505D" w:rsidP="0015505D">
            <w:pPr>
              <w:rPr>
                <w:rFonts w:ascii="Garamond" w:eastAsia="Times New Roman" w:hAnsi="Garamond" w:cs="Times New Roman"/>
                <w:sz w:val="16"/>
                <w:szCs w:val="20"/>
              </w:rPr>
            </w:pPr>
            <w:r w:rsidRPr="0015505D">
              <w:rPr>
                <w:rFonts w:ascii="Garamond" w:eastAsia="Times New Roman" w:hAnsi="Garamond" w:cs="Times New Roman"/>
                <w:sz w:val="16"/>
                <w:szCs w:val="20"/>
              </w:rPr>
              <w:t xml:space="preserve">Groupon, </w:t>
            </w:r>
            <w:proofErr w:type="spellStart"/>
            <w:r w:rsidRPr="0015505D">
              <w:rPr>
                <w:rFonts w:ascii="Garamond" w:eastAsia="Times New Roman" w:hAnsi="Garamond" w:cs="Times New Roman"/>
                <w:sz w:val="16"/>
                <w:szCs w:val="20"/>
              </w:rPr>
              <w:t>Inc</w:t>
            </w:r>
            <w:proofErr w:type="spellEnd"/>
            <w:r w:rsidRPr="0015505D">
              <w:rPr>
                <w:rFonts w:ascii="Garamond" w:eastAsia="Times New Roman" w:hAnsi="Garamond" w:cs="Times New Roman"/>
                <w:sz w:val="16"/>
                <w:szCs w:val="20"/>
              </w:rPr>
              <w:t xml:space="preserve"> is a leading company in the discount market place that has shown rapid growth since its inception, despite a lack of shareholder returns (fallen over 60% since IPO). With the tricky nature of its business profits have eluded Groupon in the first few years, but strong diversification categorically and geographically with top line growth has the company projecting its first year of profits. With the shift to a more reliable, long term strategy of “pulling” customers Groupon has seen some headwind resulting in the market capitalization to deteriorate over 30% in the past year. With the bright prospects of the </w:t>
            </w:r>
            <w:proofErr w:type="spellStart"/>
            <w:r w:rsidRPr="0015505D">
              <w:rPr>
                <w:rFonts w:ascii="Garamond" w:eastAsia="Times New Roman" w:hAnsi="Garamond" w:cs="Times New Roman"/>
                <w:sz w:val="16"/>
                <w:szCs w:val="20"/>
              </w:rPr>
              <w:t>TicketMaster</w:t>
            </w:r>
            <w:proofErr w:type="spellEnd"/>
            <w:r w:rsidRPr="0015505D">
              <w:rPr>
                <w:rFonts w:ascii="Garamond" w:eastAsia="Times New Roman" w:hAnsi="Garamond" w:cs="Times New Roman"/>
                <w:sz w:val="16"/>
                <w:szCs w:val="20"/>
              </w:rPr>
              <w:t xml:space="preserve"> acquisition, the complete fruition of the “pull” strategy, and improving financials in comparison to peers, GRPN is a BUY at $7.02 with a price target of $10.17 (+44%).</w:t>
            </w:r>
          </w:p>
          <w:p w:rsidR="00E208B6" w:rsidRPr="00E9058C" w:rsidRDefault="00E208B6" w:rsidP="00860C2F">
            <w:pPr>
              <w:rPr>
                <w:rFonts w:ascii="Garamond" w:eastAsia="Times New Roman" w:hAnsi="Garamond" w:cs="Times New Roman"/>
                <w:sz w:val="16"/>
                <w:szCs w:val="16"/>
              </w:rPr>
            </w:pPr>
          </w:p>
        </w:tc>
        <w:tc>
          <w:tcPr>
            <w:tcW w:w="1087" w:type="dxa"/>
          </w:tcPr>
          <w:p w:rsidR="00E208B6" w:rsidRPr="00C820FA" w:rsidRDefault="0015505D" w:rsidP="008B76BC">
            <w:pPr>
              <w:jc w:val="center"/>
              <w:rPr>
                <w:rFonts w:ascii="Garamond" w:hAnsi="Garamond"/>
                <w:sz w:val="20"/>
                <w:szCs w:val="20"/>
              </w:rPr>
            </w:pPr>
            <w:r>
              <w:rPr>
                <w:rFonts w:ascii="Garamond" w:hAnsi="Garamond"/>
                <w:sz w:val="20"/>
                <w:szCs w:val="20"/>
              </w:rPr>
              <w:t>$7.02</w:t>
            </w:r>
          </w:p>
        </w:tc>
        <w:tc>
          <w:tcPr>
            <w:tcW w:w="924" w:type="dxa"/>
          </w:tcPr>
          <w:p w:rsidR="00E208B6" w:rsidRPr="00C820FA" w:rsidRDefault="0015505D" w:rsidP="008B76BC">
            <w:pPr>
              <w:jc w:val="center"/>
              <w:rPr>
                <w:rFonts w:ascii="Garamond" w:hAnsi="Garamond"/>
                <w:sz w:val="20"/>
                <w:szCs w:val="20"/>
              </w:rPr>
            </w:pPr>
            <w:r>
              <w:rPr>
                <w:rFonts w:ascii="Garamond" w:hAnsi="Garamond"/>
                <w:sz w:val="20"/>
                <w:szCs w:val="20"/>
              </w:rPr>
              <w:t>$10.17</w:t>
            </w:r>
          </w:p>
        </w:tc>
      </w:tr>
      <w:tr w:rsidR="00E208B6" w:rsidTr="005A400D">
        <w:trPr>
          <w:trHeight w:val="151"/>
        </w:trPr>
        <w:tc>
          <w:tcPr>
            <w:tcW w:w="1286" w:type="dxa"/>
          </w:tcPr>
          <w:p w:rsidR="0015505D" w:rsidRPr="0015505D" w:rsidRDefault="0015505D" w:rsidP="0015505D">
            <w:pPr>
              <w:rPr>
                <w:rFonts w:eastAsia="Times New Roman" w:cs="Times New Roman"/>
                <w:sz w:val="18"/>
                <w:szCs w:val="20"/>
              </w:rPr>
            </w:pPr>
            <w:r w:rsidRPr="0015505D">
              <w:rPr>
                <w:rFonts w:eastAsia="Times New Roman" w:cs="Times New Roman"/>
                <w:sz w:val="18"/>
                <w:szCs w:val="20"/>
              </w:rPr>
              <w:t>NVE Corp.</w:t>
            </w:r>
          </w:p>
          <w:p w:rsidR="0015505D" w:rsidRPr="00175F41" w:rsidRDefault="0015505D" w:rsidP="008B76BC">
            <w:pPr>
              <w:rPr>
                <w:sz w:val="18"/>
                <w:szCs w:val="18"/>
              </w:rPr>
            </w:pPr>
            <w:r>
              <w:rPr>
                <w:sz w:val="18"/>
                <w:szCs w:val="18"/>
              </w:rPr>
              <w:t>(NVEC)</w:t>
            </w: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15505D" w:rsidRPr="0015505D" w:rsidRDefault="0015505D" w:rsidP="0015505D">
            <w:pPr>
              <w:rPr>
                <w:rFonts w:ascii="Garamond" w:eastAsia="Times New Roman" w:hAnsi="Garamond" w:cs="Times New Roman"/>
                <w:sz w:val="16"/>
                <w:szCs w:val="20"/>
              </w:rPr>
            </w:pPr>
            <w:r w:rsidRPr="0015505D">
              <w:rPr>
                <w:rFonts w:ascii="Garamond" w:eastAsia="Times New Roman" w:hAnsi="Garamond" w:cs="Times New Roman"/>
                <w:sz w:val="16"/>
                <w:szCs w:val="20"/>
              </w:rPr>
              <w:t>NVE Corp (NVEC) is a small but efficient manufacturer</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 xml:space="preserve">and researcher in the field of </w:t>
            </w:r>
            <w:proofErr w:type="spellStart"/>
            <w:r w:rsidRPr="0015505D">
              <w:rPr>
                <w:rFonts w:ascii="Garamond" w:eastAsia="Times New Roman" w:hAnsi="Garamond" w:cs="Times New Roman"/>
                <w:sz w:val="16"/>
                <w:szCs w:val="20"/>
              </w:rPr>
              <w:t>spintronics</w:t>
            </w:r>
            <w:proofErr w:type="spellEnd"/>
            <w:r w:rsidRPr="0015505D">
              <w:rPr>
                <w:rFonts w:ascii="Garamond" w:eastAsia="Times New Roman" w:hAnsi="Garamond" w:cs="Times New Roman"/>
                <w:sz w:val="16"/>
                <w:szCs w:val="20"/>
              </w:rPr>
              <w:t xml:space="preserve"> technologies</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used for medical, military, and commercial use.</w:t>
            </w:r>
            <w:r>
              <w:rPr>
                <w:rFonts w:ascii="Garamond" w:eastAsia="Times New Roman" w:hAnsi="Garamond" w:cs="Times New Roman"/>
                <w:sz w:val="16"/>
                <w:szCs w:val="20"/>
              </w:rPr>
              <w:t xml:space="preserve"> </w:t>
            </w:r>
            <w:proofErr w:type="spellStart"/>
            <w:r w:rsidRPr="0015505D">
              <w:rPr>
                <w:rFonts w:ascii="Garamond" w:eastAsia="Times New Roman" w:hAnsi="Garamond" w:cs="Times New Roman"/>
                <w:sz w:val="16"/>
                <w:szCs w:val="20"/>
              </w:rPr>
              <w:t>Spintronics</w:t>
            </w:r>
            <w:proofErr w:type="spellEnd"/>
            <w:r w:rsidRPr="0015505D">
              <w:rPr>
                <w:rFonts w:ascii="Garamond" w:eastAsia="Times New Roman" w:hAnsi="Garamond" w:cs="Times New Roman"/>
                <w:sz w:val="16"/>
                <w:szCs w:val="20"/>
              </w:rPr>
              <w:t xml:space="preserve"> technologies are nanoscale sciences which</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allow for the production of smaller and more efficient</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storage of memory (solid state MRAM) as well as</w:t>
            </w:r>
          </w:p>
          <w:p w:rsidR="0015505D"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medical</w:t>
            </w:r>
            <w:proofErr w:type="gramEnd"/>
            <w:r w:rsidRPr="0015505D">
              <w:rPr>
                <w:rFonts w:ascii="Garamond" w:eastAsia="Times New Roman" w:hAnsi="Garamond" w:cs="Times New Roman"/>
                <w:sz w:val="16"/>
                <w:szCs w:val="20"/>
              </w:rPr>
              <w:t xml:space="preserve"> applications for organic and inorganic matter.</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NVEC’s products are not only cutting edge but also the</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smallest in class, which make the products especially</w:t>
            </w:r>
          </w:p>
          <w:p w:rsidR="0015505D"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appealing</w:t>
            </w:r>
            <w:proofErr w:type="gramEnd"/>
            <w:r w:rsidRPr="0015505D">
              <w:rPr>
                <w:rFonts w:ascii="Garamond" w:eastAsia="Times New Roman" w:hAnsi="Garamond" w:cs="Times New Roman"/>
                <w:sz w:val="16"/>
                <w:szCs w:val="20"/>
              </w:rPr>
              <w:t xml:space="preserve"> in the medical industry. While historically</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NVEC has been at the mercy of lumpy order cycles</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from the medical industry purchase schedule, recent</w:t>
            </w:r>
          </w:p>
          <w:p w:rsidR="0015505D"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expansion</w:t>
            </w:r>
            <w:proofErr w:type="gramEnd"/>
            <w:r w:rsidRPr="0015505D">
              <w:rPr>
                <w:rFonts w:ascii="Garamond" w:eastAsia="Times New Roman" w:hAnsi="Garamond" w:cs="Times New Roman"/>
                <w:sz w:val="16"/>
                <w:szCs w:val="20"/>
              </w:rPr>
              <w:t xml:space="preserve"> into R&amp;D services will allow the company to</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achieve a more consistent stream of revenue. NVEC’s</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new product lines increasingly expose the company to</w:t>
            </w:r>
          </w:p>
          <w:p w:rsidR="0015505D"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the</w:t>
            </w:r>
            <w:proofErr w:type="gramEnd"/>
            <w:r w:rsidRPr="0015505D">
              <w:rPr>
                <w:rFonts w:ascii="Garamond" w:eastAsia="Times New Roman" w:hAnsi="Garamond" w:cs="Times New Roman"/>
                <w:sz w:val="16"/>
                <w:szCs w:val="20"/>
              </w:rPr>
              <w:t xml:space="preserve"> electric vehicle market as well as other</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semiconductor applications. In an industry poised for</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growth, NVEC is the most efficient player in the market</w:t>
            </w:r>
          </w:p>
          <w:p w:rsidR="0015505D"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despite</w:t>
            </w:r>
            <w:proofErr w:type="gramEnd"/>
            <w:r w:rsidRPr="0015505D">
              <w:rPr>
                <w:rFonts w:ascii="Garamond" w:eastAsia="Times New Roman" w:hAnsi="Garamond" w:cs="Times New Roman"/>
                <w:sz w:val="16"/>
                <w:szCs w:val="20"/>
              </w:rPr>
              <w:t xml:space="preserve"> its small footprint. With deployment of new</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product lines, a more diverse revenue stream, and a</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planned distribution of cash to shareholders, 2015 will</w:t>
            </w:r>
          </w:p>
          <w:p w:rsidR="00E208B6" w:rsidRPr="0015505D" w:rsidRDefault="0015505D" w:rsidP="0015505D">
            <w:pPr>
              <w:rPr>
                <w:rFonts w:ascii="Garamond" w:eastAsia="Times New Roman" w:hAnsi="Garamond" w:cs="Times New Roman"/>
                <w:sz w:val="16"/>
                <w:szCs w:val="20"/>
              </w:rPr>
            </w:pPr>
            <w:proofErr w:type="gramStart"/>
            <w:r w:rsidRPr="0015505D">
              <w:rPr>
                <w:rFonts w:ascii="Garamond" w:eastAsia="Times New Roman" w:hAnsi="Garamond" w:cs="Times New Roman"/>
                <w:sz w:val="16"/>
                <w:szCs w:val="20"/>
              </w:rPr>
              <w:t>prove</w:t>
            </w:r>
            <w:proofErr w:type="gramEnd"/>
            <w:r w:rsidRPr="0015505D">
              <w:rPr>
                <w:rFonts w:ascii="Garamond" w:eastAsia="Times New Roman" w:hAnsi="Garamond" w:cs="Times New Roman"/>
                <w:sz w:val="16"/>
                <w:szCs w:val="20"/>
              </w:rPr>
              <w:t xml:space="preserve"> to be a year of continued success for NVEC. For</w:t>
            </w:r>
            <w:r>
              <w:rPr>
                <w:rFonts w:ascii="Garamond" w:eastAsia="Times New Roman" w:hAnsi="Garamond" w:cs="Times New Roman"/>
                <w:sz w:val="16"/>
                <w:szCs w:val="20"/>
              </w:rPr>
              <w:t xml:space="preserve"> </w:t>
            </w:r>
            <w:r w:rsidRPr="0015505D">
              <w:rPr>
                <w:rFonts w:ascii="Garamond" w:eastAsia="Times New Roman" w:hAnsi="Garamond" w:cs="Times New Roman"/>
                <w:sz w:val="16"/>
                <w:szCs w:val="20"/>
              </w:rPr>
              <w:t xml:space="preserve">these reasons, a BUY is recommended. </w:t>
            </w:r>
          </w:p>
        </w:tc>
        <w:tc>
          <w:tcPr>
            <w:tcW w:w="1087" w:type="dxa"/>
          </w:tcPr>
          <w:p w:rsidR="00E208B6" w:rsidRPr="00C820FA" w:rsidRDefault="0015505D" w:rsidP="008B76BC">
            <w:pPr>
              <w:jc w:val="center"/>
              <w:rPr>
                <w:rFonts w:ascii="Garamond" w:hAnsi="Garamond"/>
                <w:sz w:val="20"/>
                <w:szCs w:val="20"/>
              </w:rPr>
            </w:pPr>
            <w:r>
              <w:rPr>
                <w:rFonts w:ascii="Garamond" w:hAnsi="Garamond"/>
                <w:sz w:val="20"/>
                <w:szCs w:val="20"/>
              </w:rPr>
              <w:t>$68.74</w:t>
            </w:r>
          </w:p>
        </w:tc>
        <w:tc>
          <w:tcPr>
            <w:tcW w:w="924" w:type="dxa"/>
          </w:tcPr>
          <w:p w:rsidR="00E208B6" w:rsidRPr="00C820FA" w:rsidRDefault="0015505D" w:rsidP="008B76BC">
            <w:pPr>
              <w:jc w:val="center"/>
              <w:rPr>
                <w:rFonts w:ascii="Garamond" w:hAnsi="Garamond"/>
                <w:sz w:val="20"/>
                <w:szCs w:val="20"/>
              </w:rPr>
            </w:pPr>
            <w:r>
              <w:rPr>
                <w:rFonts w:ascii="Garamond" w:hAnsi="Garamond"/>
                <w:sz w:val="20"/>
                <w:szCs w:val="20"/>
              </w:rPr>
              <w:t>$81.60</w:t>
            </w:r>
          </w:p>
        </w:tc>
      </w:tr>
      <w:tr w:rsidR="00E208B6" w:rsidTr="005A400D">
        <w:trPr>
          <w:trHeight w:val="151"/>
        </w:trPr>
        <w:tc>
          <w:tcPr>
            <w:tcW w:w="1286" w:type="dxa"/>
          </w:tcPr>
          <w:p w:rsidR="0015505D" w:rsidRPr="0015505D" w:rsidRDefault="0015505D" w:rsidP="0015505D">
            <w:pPr>
              <w:rPr>
                <w:rFonts w:eastAsia="Times New Roman" w:cs="Times New Roman"/>
                <w:sz w:val="18"/>
                <w:szCs w:val="20"/>
              </w:rPr>
            </w:pPr>
            <w:r w:rsidRPr="0015505D">
              <w:rPr>
                <w:rFonts w:eastAsia="Times New Roman" w:cs="Times New Roman"/>
                <w:sz w:val="18"/>
                <w:szCs w:val="20"/>
              </w:rPr>
              <w:t>Research Solutions, Inc.</w:t>
            </w:r>
          </w:p>
          <w:p w:rsidR="00E9058C" w:rsidRPr="00175F41" w:rsidRDefault="0015505D" w:rsidP="008B76BC">
            <w:pPr>
              <w:rPr>
                <w:sz w:val="18"/>
                <w:szCs w:val="18"/>
              </w:rPr>
            </w:pPr>
            <w:r>
              <w:rPr>
                <w:sz w:val="18"/>
                <w:szCs w:val="18"/>
              </w:rPr>
              <w:t>(RSSS)</w:t>
            </w:r>
          </w:p>
        </w:tc>
        <w:tc>
          <w:tcPr>
            <w:tcW w:w="815" w:type="dxa"/>
          </w:tcPr>
          <w:p w:rsidR="00E208B6" w:rsidRPr="00C820FA" w:rsidRDefault="00FA76B2" w:rsidP="008B76BC">
            <w:pPr>
              <w:jc w:val="center"/>
              <w:rPr>
                <w:rFonts w:ascii="Garamond" w:hAnsi="Garamond"/>
                <w:sz w:val="24"/>
                <w:szCs w:val="24"/>
              </w:rPr>
            </w:pPr>
            <w:r>
              <w:rPr>
                <w:rFonts w:ascii="Garamond" w:hAnsi="Garamond"/>
                <w:sz w:val="24"/>
                <w:szCs w:val="24"/>
              </w:rPr>
              <w:t>Buy</w:t>
            </w:r>
          </w:p>
        </w:tc>
        <w:tc>
          <w:tcPr>
            <w:tcW w:w="5525" w:type="dxa"/>
          </w:tcPr>
          <w:p w:rsidR="0015505D" w:rsidRPr="0015505D" w:rsidRDefault="0015505D" w:rsidP="0015505D">
            <w:pPr>
              <w:rPr>
                <w:rFonts w:ascii="Garamond" w:eastAsia="Times New Roman" w:hAnsi="Garamond" w:cs="Times New Roman"/>
                <w:sz w:val="16"/>
                <w:szCs w:val="20"/>
              </w:rPr>
            </w:pPr>
            <w:r w:rsidRPr="0015505D">
              <w:rPr>
                <w:rFonts w:ascii="Garamond" w:eastAsia="Times New Roman" w:hAnsi="Garamond" w:cs="Times New Roman"/>
                <w:sz w:val="16"/>
                <w:szCs w:val="20"/>
              </w:rPr>
              <w:t>The On-Demand Access to Scientific, Technical, and Medical Information is an unknown sector for most of the public. The demand is growing at a fast paste despite Deloitte 2015 Global life sciences outlook: Aging populations, chronic/ lifestyle diseases, emerging-market expansion, and treatment and technology advances are expected to spur life sciences sector growth in 2015. The number of researchers across the word seeking for technical and medical information (STM) would probably increase if we believe the World industry outlook</w:t>
            </w:r>
          </w:p>
          <w:p w:rsidR="00E208B6" w:rsidRPr="00860C2F" w:rsidRDefault="00E208B6" w:rsidP="008B76BC">
            <w:pPr>
              <w:jc w:val="both"/>
              <w:rPr>
                <w:rFonts w:ascii="Garamond" w:eastAsia="Arial" w:hAnsi="Garamond" w:cs="Arial"/>
                <w:color w:val="000000"/>
                <w:sz w:val="16"/>
                <w:szCs w:val="16"/>
              </w:rPr>
            </w:pPr>
          </w:p>
        </w:tc>
        <w:tc>
          <w:tcPr>
            <w:tcW w:w="1087" w:type="dxa"/>
          </w:tcPr>
          <w:p w:rsidR="00E208B6" w:rsidRPr="00C820FA" w:rsidRDefault="0015505D" w:rsidP="008B76BC">
            <w:pPr>
              <w:jc w:val="center"/>
              <w:rPr>
                <w:rFonts w:ascii="Garamond" w:hAnsi="Garamond"/>
                <w:sz w:val="20"/>
                <w:szCs w:val="20"/>
              </w:rPr>
            </w:pPr>
            <w:r>
              <w:rPr>
                <w:rFonts w:ascii="Garamond" w:hAnsi="Garamond"/>
                <w:sz w:val="20"/>
                <w:szCs w:val="20"/>
              </w:rPr>
              <w:t>$1.07</w:t>
            </w:r>
          </w:p>
        </w:tc>
        <w:tc>
          <w:tcPr>
            <w:tcW w:w="924" w:type="dxa"/>
          </w:tcPr>
          <w:p w:rsidR="00E208B6" w:rsidRPr="00C820FA" w:rsidRDefault="0015505D" w:rsidP="008B76BC">
            <w:pPr>
              <w:jc w:val="center"/>
              <w:rPr>
                <w:rFonts w:ascii="Garamond" w:hAnsi="Garamond"/>
                <w:sz w:val="20"/>
                <w:szCs w:val="20"/>
              </w:rPr>
            </w:pPr>
            <w:r>
              <w:rPr>
                <w:rFonts w:ascii="Garamond" w:hAnsi="Garamond"/>
                <w:sz w:val="20"/>
                <w:szCs w:val="20"/>
              </w:rPr>
              <w:t>$5.3</w:t>
            </w:r>
          </w:p>
        </w:tc>
      </w:tr>
      <w:tr w:rsidR="00E208B6" w:rsidTr="005A400D">
        <w:trPr>
          <w:trHeight w:val="151"/>
        </w:trPr>
        <w:tc>
          <w:tcPr>
            <w:tcW w:w="1286" w:type="dxa"/>
          </w:tcPr>
          <w:p w:rsidR="00860C2F" w:rsidRDefault="0015505D" w:rsidP="008B76BC">
            <w:pPr>
              <w:rPr>
                <w:sz w:val="18"/>
                <w:szCs w:val="18"/>
              </w:rPr>
            </w:pPr>
            <w:r w:rsidRPr="0015505D">
              <w:rPr>
                <w:sz w:val="18"/>
                <w:szCs w:val="18"/>
              </w:rPr>
              <w:t>PDF Solutions, Inc.</w:t>
            </w:r>
          </w:p>
          <w:p w:rsidR="0015505D" w:rsidRPr="00175F41" w:rsidRDefault="0015505D" w:rsidP="008B76BC">
            <w:pPr>
              <w:rPr>
                <w:sz w:val="18"/>
                <w:szCs w:val="18"/>
              </w:rPr>
            </w:pPr>
            <w:r>
              <w:rPr>
                <w:sz w:val="18"/>
                <w:szCs w:val="18"/>
              </w:rPr>
              <w:t>(PDFS)</w:t>
            </w:r>
          </w:p>
        </w:tc>
        <w:tc>
          <w:tcPr>
            <w:tcW w:w="815" w:type="dxa"/>
          </w:tcPr>
          <w:p w:rsidR="00E208B6" w:rsidRPr="00C820FA" w:rsidRDefault="00E9058C"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15505D" w:rsidRPr="0015505D" w:rsidRDefault="0015505D" w:rsidP="0015505D">
            <w:pPr>
              <w:rPr>
                <w:rFonts w:ascii="Garamond" w:eastAsia="Times New Roman" w:hAnsi="Garamond" w:cs="Times New Roman"/>
                <w:sz w:val="16"/>
                <w:szCs w:val="20"/>
              </w:rPr>
            </w:pPr>
            <w:r w:rsidRPr="0015505D">
              <w:rPr>
                <w:rFonts w:ascii="Garamond" w:eastAsia="Times New Roman" w:hAnsi="Garamond" w:cs="Times New Roman"/>
                <w:sz w:val="16"/>
                <w:szCs w:val="20"/>
              </w:rPr>
              <w:t xml:space="preserve">PDF Solutions, Inc. is a growing company in the semiconductor equipment industry. The firm has experienced growing free cash flows in the last three years as a result of having zero debt and decreased operating expenses as well as cost of goods sold. In an industry that is expected to grow steadily for the foreseeable future, PDF </w:t>
            </w:r>
            <w:r w:rsidRPr="0015505D">
              <w:rPr>
                <w:rFonts w:ascii="Garamond" w:eastAsia="Times New Roman" w:hAnsi="Garamond" w:cs="Times New Roman"/>
                <w:sz w:val="16"/>
                <w:szCs w:val="20"/>
              </w:rPr>
              <w:lastRenderedPageBreak/>
              <w:t>Solutions, Inc. looks to outperform market expectations with increased revenues and further decreases in expenses. The market will not be able to ignore the cash flows created by this company and the value that comes with the continuously improving efficiency.</w:t>
            </w:r>
          </w:p>
          <w:p w:rsidR="00E208B6" w:rsidRPr="000F32DB" w:rsidRDefault="00E208B6" w:rsidP="00E9058C">
            <w:pPr>
              <w:jc w:val="both"/>
              <w:rPr>
                <w:rFonts w:ascii="Garamond" w:eastAsia="Arial" w:hAnsi="Garamond" w:cs="Arial"/>
                <w:color w:val="000000"/>
                <w:sz w:val="16"/>
                <w:szCs w:val="16"/>
              </w:rPr>
            </w:pPr>
          </w:p>
        </w:tc>
        <w:tc>
          <w:tcPr>
            <w:tcW w:w="1087" w:type="dxa"/>
          </w:tcPr>
          <w:p w:rsidR="00E208B6" w:rsidRPr="00C820FA" w:rsidRDefault="0015505D" w:rsidP="008B76BC">
            <w:pPr>
              <w:jc w:val="center"/>
              <w:rPr>
                <w:rFonts w:ascii="Garamond" w:hAnsi="Garamond"/>
                <w:sz w:val="20"/>
                <w:szCs w:val="20"/>
              </w:rPr>
            </w:pPr>
            <w:r>
              <w:rPr>
                <w:rFonts w:ascii="Garamond" w:hAnsi="Garamond"/>
                <w:sz w:val="20"/>
                <w:szCs w:val="20"/>
              </w:rPr>
              <w:lastRenderedPageBreak/>
              <w:t>$17.76</w:t>
            </w:r>
          </w:p>
        </w:tc>
        <w:tc>
          <w:tcPr>
            <w:tcW w:w="924" w:type="dxa"/>
          </w:tcPr>
          <w:p w:rsidR="00E208B6" w:rsidRPr="00C820FA" w:rsidRDefault="0015505D" w:rsidP="008B76BC">
            <w:pPr>
              <w:jc w:val="center"/>
              <w:rPr>
                <w:rFonts w:ascii="Garamond" w:hAnsi="Garamond"/>
                <w:sz w:val="20"/>
                <w:szCs w:val="20"/>
              </w:rPr>
            </w:pPr>
            <w:r>
              <w:rPr>
                <w:rFonts w:ascii="Garamond" w:hAnsi="Garamond"/>
                <w:sz w:val="20"/>
                <w:szCs w:val="20"/>
              </w:rPr>
              <w:t>$22.40</w:t>
            </w:r>
          </w:p>
        </w:tc>
      </w:tr>
    </w:tbl>
    <w:p w:rsidR="00797FCC" w:rsidRDefault="00797FCC"/>
    <w:sectPr w:rsidR="00797FCC" w:rsidSect="00FD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DB"/>
    <w:rsid w:val="000F32DB"/>
    <w:rsid w:val="001021DB"/>
    <w:rsid w:val="0015505D"/>
    <w:rsid w:val="00162AD6"/>
    <w:rsid w:val="00175F41"/>
    <w:rsid w:val="001C55EE"/>
    <w:rsid w:val="0054731E"/>
    <w:rsid w:val="005A400D"/>
    <w:rsid w:val="00675616"/>
    <w:rsid w:val="00797FCC"/>
    <w:rsid w:val="00860C2F"/>
    <w:rsid w:val="008672FD"/>
    <w:rsid w:val="008B76BC"/>
    <w:rsid w:val="009468EC"/>
    <w:rsid w:val="00C820FA"/>
    <w:rsid w:val="00D03B56"/>
    <w:rsid w:val="00D46042"/>
    <w:rsid w:val="00D62202"/>
    <w:rsid w:val="00DF0B75"/>
    <w:rsid w:val="00E0245E"/>
    <w:rsid w:val="00E208B6"/>
    <w:rsid w:val="00E9058C"/>
    <w:rsid w:val="00FA76B2"/>
    <w:rsid w:val="00FD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248">
      <w:bodyDiv w:val="1"/>
      <w:marLeft w:val="0"/>
      <w:marRight w:val="0"/>
      <w:marTop w:val="0"/>
      <w:marBottom w:val="0"/>
      <w:divBdr>
        <w:top w:val="none" w:sz="0" w:space="0" w:color="auto"/>
        <w:left w:val="none" w:sz="0" w:space="0" w:color="auto"/>
        <w:bottom w:val="none" w:sz="0" w:space="0" w:color="auto"/>
        <w:right w:val="none" w:sz="0" w:space="0" w:color="auto"/>
      </w:divBdr>
    </w:div>
    <w:div w:id="150026501">
      <w:bodyDiv w:val="1"/>
      <w:marLeft w:val="0"/>
      <w:marRight w:val="0"/>
      <w:marTop w:val="0"/>
      <w:marBottom w:val="0"/>
      <w:divBdr>
        <w:top w:val="none" w:sz="0" w:space="0" w:color="auto"/>
        <w:left w:val="none" w:sz="0" w:space="0" w:color="auto"/>
        <w:bottom w:val="none" w:sz="0" w:space="0" w:color="auto"/>
        <w:right w:val="none" w:sz="0" w:space="0" w:color="auto"/>
      </w:divBdr>
    </w:div>
    <w:div w:id="164903087">
      <w:bodyDiv w:val="1"/>
      <w:marLeft w:val="0"/>
      <w:marRight w:val="0"/>
      <w:marTop w:val="0"/>
      <w:marBottom w:val="0"/>
      <w:divBdr>
        <w:top w:val="none" w:sz="0" w:space="0" w:color="auto"/>
        <w:left w:val="none" w:sz="0" w:space="0" w:color="auto"/>
        <w:bottom w:val="none" w:sz="0" w:space="0" w:color="auto"/>
        <w:right w:val="none" w:sz="0" w:space="0" w:color="auto"/>
      </w:divBdr>
    </w:div>
    <w:div w:id="214853766">
      <w:bodyDiv w:val="1"/>
      <w:marLeft w:val="0"/>
      <w:marRight w:val="0"/>
      <w:marTop w:val="0"/>
      <w:marBottom w:val="0"/>
      <w:divBdr>
        <w:top w:val="none" w:sz="0" w:space="0" w:color="auto"/>
        <w:left w:val="none" w:sz="0" w:space="0" w:color="auto"/>
        <w:bottom w:val="none" w:sz="0" w:space="0" w:color="auto"/>
        <w:right w:val="none" w:sz="0" w:space="0" w:color="auto"/>
      </w:divBdr>
    </w:div>
    <w:div w:id="292055788">
      <w:bodyDiv w:val="1"/>
      <w:marLeft w:val="0"/>
      <w:marRight w:val="0"/>
      <w:marTop w:val="0"/>
      <w:marBottom w:val="0"/>
      <w:divBdr>
        <w:top w:val="none" w:sz="0" w:space="0" w:color="auto"/>
        <w:left w:val="none" w:sz="0" w:space="0" w:color="auto"/>
        <w:bottom w:val="none" w:sz="0" w:space="0" w:color="auto"/>
        <w:right w:val="none" w:sz="0" w:space="0" w:color="auto"/>
      </w:divBdr>
    </w:div>
    <w:div w:id="315912704">
      <w:bodyDiv w:val="1"/>
      <w:marLeft w:val="0"/>
      <w:marRight w:val="0"/>
      <w:marTop w:val="0"/>
      <w:marBottom w:val="0"/>
      <w:divBdr>
        <w:top w:val="none" w:sz="0" w:space="0" w:color="auto"/>
        <w:left w:val="none" w:sz="0" w:space="0" w:color="auto"/>
        <w:bottom w:val="none" w:sz="0" w:space="0" w:color="auto"/>
        <w:right w:val="none" w:sz="0" w:space="0" w:color="auto"/>
      </w:divBdr>
    </w:div>
    <w:div w:id="484704308">
      <w:bodyDiv w:val="1"/>
      <w:marLeft w:val="0"/>
      <w:marRight w:val="0"/>
      <w:marTop w:val="0"/>
      <w:marBottom w:val="0"/>
      <w:divBdr>
        <w:top w:val="none" w:sz="0" w:space="0" w:color="auto"/>
        <w:left w:val="none" w:sz="0" w:space="0" w:color="auto"/>
        <w:bottom w:val="none" w:sz="0" w:space="0" w:color="auto"/>
        <w:right w:val="none" w:sz="0" w:space="0" w:color="auto"/>
      </w:divBdr>
    </w:div>
    <w:div w:id="519587082">
      <w:bodyDiv w:val="1"/>
      <w:marLeft w:val="0"/>
      <w:marRight w:val="0"/>
      <w:marTop w:val="0"/>
      <w:marBottom w:val="0"/>
      <w:divBdr>
        <w:top w:val="none" w:sz="0" w:space="0" w:color="auto"/>
        <w:left w:val="none" w:sz="0" w:space="0" w:color="auto"/>
        <w:bottom w:val="none" w:sz="0" w:space="0" w:color="auto"/>
        <w:right w:val="none" w:sz="0" w:space="0" w:color="auto"/>
      </w:divBdr>
    </w:div>
    <w:div w:id="756169963">
      <w:bodyDiv w:val="1"/>
      <w:marLeft w:val="0"/>
      <w:marRight w:val="0"/>
      <w:marTop w:val="0"/>
      <w:marBottom w:val="0"/>
      <w:divBdr>
        <w:top w:val="none" w:sz="0" w:space="0" w:color="auto"/>
        <w:left w:val="none" w:sz="0" w:space="0" w:color="auto"/>
        <w:bottom w:val="none" w:sz="0" w:space="0" w:color="auto"/>
        <w:right w:val="none" w:sz="0" w:space="0" w:color="auto"/>
      </w:divBdr>
    </w:div>
    <w:div w:id="879821473">
      <w:bodyDiv w:val="1"/>
      <w:marLeft w:val="0"/>
      <w:marRight w:val="0"/>
      <w:marTop w:val="0"/>
      <w:marBottom w:val="0"/>
      <w:divBdr>
        <w:top w:val="none" w:sz="0" w:space="0" w:color="auto"/>
        <w:left w:val="none" w:sz="0" w:space="0" w:color="auto"/>
        <w:bottom w:val="none" w:sz="0" w:space="0" w:color="auto"/>
        <w:right w:val="none" w:sz="0" w:space="0" w:color="auto"/>
      </w:divBdr>
    </w:div>
    <w:div w:id="896551371">
      <w:bodyDiv w:val="1"/>
      <w:marLeft w:val="0"/>
      <w:marRight w:val="0"/>
      <w:marTop w:val="0"/>
      <w:marBottom w:val="0"/>
      <w:divBdr>
        <w:top w:val="none" w:sz="0" w:space="0" w:color="auto"/>
        <w:left w:val="none" w:sz="0" w:space="0" w:color="auto"/>
        <w:bottom w:val="none" w:sz="0" w:space="0" w:color="auto"/>
        <w:right w:val="none" w:sz="0" w:space="0" w:color="auto"/>
      </w:divBdr>
    </w:div>
    <w:div w:id="970555325">
      <w:bodyDiv w:val="1"/>
      <w:marLeft w:val="0"/>
      <w:marRight w:val="0"/>
      <w:marTop w:val="0"/>
      <w:marBottom w:val="0"/>
      <w:divBdr>
        <w:top w:val="none" w:sz="0" w:space="0" w:color="auto"/>
        <w:left w:val="none" w:sz="0" w:space="0" w:color="auto"/>
        <w:bottom w:val="none" w:sz="0" w:space="0" w:color="auto"/>
        <w:right w:val="none" w:sz="0" w:space="0" w:color="auto"/>
      </w:divBdr>
    </w:div>
    <w:div w:id="1003364584">
      <w:bodyDiv w:val="1"/>
      <w:marLeft w:val="0"/>
      <w:marRight w:val="0"/>
      <w:marTop w:val="0"/>
      <w:marBottom w:val="0"/>
      <w:divBdr>
        <w:top w:val="none" w:sz="0" w:space="0" w:color="auto"/>
        <w:left w:val="none" w:sz="0" w:space="0" w:color="auto"/>
        <w:bottom w:val="none" w:sz="0" w:space="0" w:color="auto"/>
        <w:right w:val="none" w:sz="0" w:space="0" w:color="auto"/>
      </w:divBdr>
    </w:div>
    <w:div w:id="1018388329">
      <w:bodyDiv w:val="1"/>
      <w:marLeft w:val="0"/>
      <w:marRight w:val="0"/>
      <w:marTop w:val="0"/>
      <w:marBottom w:val="0"/>
      <w:divBdr>
        <w:top w:val="none" w:sz="0" w:space="0" w:color="auto"/>
        <w:left w:val="none" w:sz="0" w:space="0" w:color="auto"/>
        <w:bottom w:val="none" w:sz="0" w:space="0" w:color="auto"/>
        <w:right w:val="none" w:sz="0" w:space="0" w:color="auto"/>
      </w:divBdr>
    </w:div>
    <w:div w:id="1123040211">
      <w:bodyDiv w:val="1"/>
      <w:marLeft w:val="0"/>
      <w:marRight w:val="0"/>
      <w:marTop w:val="0"/>
      <w:marBottom w:val="0"/>
      <w:divBdr>
        <w:top w:val="none" w:sz="0" w:space="0" w:color="auto"/>
        <w:left w:val="none" w:sz="0" w:space="0" w:color="auto"/>
        <w:bottom w:val="none" w:sz="0" w:space="0" w:color="auto"/>
        <w:right w:val="none" w:sz="0" w:space="0" w:color="auto"/>
      </w:divBdr>
    </w:div>
    <w:div w:id="1193036583">
      <w:bodyDiv w:val="1"/>
      <w:marLeft w:val="0"/>
      <w:marRight w:val="0"/>
      <w:marTop w:val="0"/>
      <w:marBottom w:val="0"/>
      <w:divBdr>
        <w:top w:val="none" w:sz="0" w:space="0" w:color="auto"/>
        <w:left w:val="none" w:sz="0" w:space="0" w:color="auto"/>
        <w:bottom w:val="none" w:sz="0" w:space="0" w:color="auto"/>
        <w:right w:val="none" w:sz="0" w:space="0" w:color="auto"/>
      </w:divBdr>
    </w:div>
    <w:div w:id="1193416932">
      <w:bodyDiv w:val="1"/>
      <w:marLeft w:val="0"/>
      <w:marRight w:val="0"/>
      <w:marTop w:val="0"/>
      <w:marBottom w:val="0"/>
      <w:divBdr>
        <w:top w:val="none" w:sz="0" w:space="0" w:color="auto"/>
        <w:left w:val="none" w:sz="0" w:space="0" w:color="auto"/>
        <w:bottom w:val="none" w:sz="0" w:space="0" w:color="auto"/>
        <w:right w:val="none" w:sz="0" w:space="0" w:color="auto"/>
      </w:divBdr>
    </w:div>
    <w:div w:id="1256019049">
      <w:bodyDiv w:val="1"/>
      <w:marLeft w:val="0"/>
      <w:marRight w:val="0"/>
      <w:marTop w:val="0"/>
      <w:marBottom w:val="0"/>
      <w:divBdr>
        <w:top w:val="none" w:sz="0" w:space="0" w:color="auto"/>
        <w:left w:val="none" w:sz="0" w:space="0" w:color="auto"/>
        <w:bottom w:val="none" w:sz="0" w:space="0" w:color="auto"/>
        <w:right w:val="none" w:sz="0" w:space="0" w:color="auto"/>
      </w:divBdr>
    </w:div>
    <w:div w:id="1257521593">
      <w:bodyDiv w:val="1"/>
      <w:marLeft w:val="0"/>
      <w:marRight w:val="0"/>
      <w:marTop w:val="0"/>
      <w:marBottom w:val="0"/>
      <w:divBdr>
        <w:top w:val="none" w:sz="0" w:space="0" w:color="auto"/>
        <w:left w:val="none" w:sz="0" w:space="0" w:color="auto"/>
        <w:bottom w:val="none" w:sz="0" w:space="0" w:color="auto"/>
        <w:right w:val="none" w:sz="0" w:space="0" w:color="auto"/>
      </w:divBdr>
    </w:div>
    <w:div w:id="1270822493">
      <w:bodyDiv w:val="1"/>
      <w:marLeft w:val="0"/>
      <w:marRight w:val="0"/>
      <w:marTop w:val="0"/>
      <w:marBottom w:val="0"/>
      <w:divBdr>
        <w:top w:val="none" w:sz="0" w:space="0" w:color="auto"/>
        <w:left w:val="none" w:sz="0" w:space="0" w:color="auto"/>
        <w:bottom w:val="none" w:sz="0" w:space="0" w:color="auto"/>
        <w:right w:val="none" w:sz="0" w:space="0" w:color="auto"/>
      </w:divBdr>
    </w:div>
    <w:div w:id="1286235849">
      <w:bodyDiv w:val="1"/>
      <w:marLeft w:val="0"/>
      <w:marRight w:val="0"/>
      <w:marTop w:val="0"/>
      <w:marBottom w:val="0"/>
      <w:divBdr>
        <w:top w:val="none" w:sz="0" w:space="0" w:color="auto"/>
        <w:left w:val="none" w:sz="0" w:space="0" w:color="auto"/>
        <w:bottom w:val="none" w:sz="0" w:space="0" w:color="auto"/>
        <w:right w:val="none" w:sz="0" w:space="0" w:color="auto"/>
      </w:divBdr>
    </w:div>
    <w:div w:id="1367751509">
      <w:bodyDiv w:val="1"/>
      <w:marLeft w:val="0"/>
      <w:marRight w:val="0"/>
      <w:marTop w:val="0"/>
      <w:marBottom w:val="0"/>
      <w:divBdr>
        <w:top w:val="none" w:sz="0" w:space="0" w:color="auto"/>
        <w:left w:val="none" w:sz="0" w:space="0" w:color="auto"/>
        <w:bottom w:val="none" w:sz="0" w:space="0" w:color="auto"/>
        <w:right w:val="none" w:sz="0" w:space="0" w:color="auto"/>
      </w:divBdr>
    </w:div>
    <w:div w:id="1369650159">
      <w:bodyDiv w:val="1"/>
      <w:marLeft w:val="0"/>
      <w:marRight w:val="0"/>
      <w:marTop w:val="0"/>
      <w:marBottom w:val="0"/>
      <w:divBdr>
        <w:top w:val="none" w:sz="0" w:space="0" w:color="auto"/>
        <w:left w:val="none" w:sz="0" w:space="0" w:color="auto"/>
        <w:bottom w:val="none" w:sz="0" w:space="0" w:color="auto"/>
        <w:right w:val="none" w:sz="0" w:space="0" w:color="auto"/>
      </w:divBdr>
    </w:div>
    <w:div w:id="1371144467">
      <w:bodyDiv w:val="1"/>
      <w:marLeft w:val="0"/>
      <w:marRight w:val="0"/>
      <w:marTop w:val="0"/>
      <w:marBottom w:val="0"/>
      <w:divBdr>
        <w:top w:val="none" w:sz="0" w:space="0" w:color="auto"/>
        <w:left w:val="none" w:sz="0" w:space="0" w:color="auto"/>
        <w:bottom w:val="none" w:sz="0" w:space="0" w:color="auto"/>
        <w:right w:val="none" w:sz="0" w:space="0" w:color="auto"/>
      </w:divBdr>
    </w:div>
    <w:div w:id="1437486319">
      <w:bodyDiv w:val="1"/>
      <w:marLeft w:val="0"/>
      <w:marRight w:val="0"/>
      <w:marTop w:val="0"/>
      <w:marBottom w:val="0"/>
      <w:divBdr>
        <w:top w:val="none" w:sz="0" w:space="0" w:color="auto"/>
        <w:left w:val="none" w:sz="0" w:space="0" w:color="auto"/>
        <w:bottom w:val="none" w:sz="0" w:space="0" w:color="auto"/>
        <w:right w:val="none" w:sz="0" w:space="0" w:color="auto"/>
      </w:divBdr>
    </w:div>
    <w:div w:id="1471243745">
      <w:bodyDiv w:val="1"/>
      <w:marLeft w:val="0"/>
      <w:marRight w:val="0"/>
      <w:marTop w:val="0"/>
      <w:marBottom w:val="0"/>
      <w:divBdr>
        <w:top w:val="none" w:sz="0" w:space="0" w:color="auto"/>
        <w:left w:val="none" w:sz="0" w:space="0" w:color="auto"/>
        <w:bottom w:val="none" w:sz="0" w:space="0" w:color="auto"/>
        <w:right w:val="none" w:sz="0" w:space="0" w:color="auto"/>
      </w:divBdr>
    </w:div>
    <w:div w:id="1476147675">
      <w:bodyDiv w:val="1"/>
      <w:marLeft w:val="0"/>
      <w:marRight w:val="0"/>
      <w:marTop w:val="0"/>
      <w:marBottom w:val="0"/>
      <w:divBdr>
        <w:top w:val="none" w:sz="0" w:space="0" w:color="auto"/>
        <w:left w:val="none" w:sz="0" w:space="0" w:color="auto"/>
        <w:bottom w:val="none" w:sz="0" w:space="0" w:color="auto"/>
        <w:right w:val="none" w:sz="0" w:space="0" w:color="auto"/>
      </w:divBdr>
    </w:div>
    <w:div w:id="1481388943">
      <w:bodyDiv w:val="1"/>
      <w:marLeft w:val="0"/>
      <w:marRight w:val="0"/>
      <w:marTop w:val="0"/>
      <w:marBottom w:val="0"/>
      <w:divBdr>
        <w:top w:val="none" w:sz="0" w:space="0" w:color="auto"/>
        <w:left w:val="none" w:sz="0" w:space="0" w:color="auto"/>
        <w:bottom w:val="none" w:sz="0" w:space="0" w:color="auto"/>
        <w:right w:val="none" w:sz="0" w:space="0" w:color="auto"/>
      </w:divBdr>
    </w:div>
    <w:div w:id="1544056092">
      <w:bodyDiv w:val="1"/>
      <w:marLeft w:val="0"/>
      <w:marRight w:val="0"/>
      <w:marTop w:val="0"/>
      <w:marBottom w:val="0"/>
      <w:divBdr>
        <w:top w:val="none" w:sz="0" w:space="0" w:color="auto"/>
        <w:left w:val="none" w:sz="0" w:space="0" w:color="auto"/>
        <w:bottom w:val="none" w:sz="0" w:space="0" w:color="auto"/>
        <w:right w:val="none" w:sz="0" w:space="0" w:color="auto"/>
      </w:divBdr>
    </w:div>
    <w:div w:id="1553924500">
      <w:bodyDiv w:val="1"/>
      <w:marLeft w:val="0"/>
      <w:marRight w:val="0"/>
      <w:marTop w:val="0"/>
      <w:marBottom w:val="0"/>
      <w:divBdr>
        <w:top w:val="none" w:sz="0" w:space="0" w:color="auto"/>
        <w:left w:val="none" w:sz="0" w:space="0" w:color="auto"/>
        <w:bottom w:val="none" w:sz="0" w:space="0" w:color="auto"/>
        <w:right w:val="none" w:sz="0" w:space="0" w:color="auto"/>
      </w:divBdr>
    </w:div>
    <w:div w:id="1563640361">
      <w:bodyDiv w:val="1"/>
      <w:marLeft w:val="0"/>
      <w:marRight w:val="0"/>
      <w:marTop w:val="0"/>
      <w:marBottom w:val="0"/>
      <w:divBdr>
        <w:top w:val="none" w:sz="0" w:space="0" w:color="auto"/>
        <w:left w:val="none" w:sz="0" w:space="0" w:color="auto"/>
        <w:bottom w:val="none" w:sz="0" w:space="0" w:color="auto"/>
        <w:right w:val="none" w:sz="0" w:space="0" w:color="auto"/>
      </w:divBdr>
    </w:div>
    <w:div w:id="1588689882">
      <w:bodyDiv w:val="1"/>
      <w:marLeft w:val="0"/>
      <w:marRight w:val="0"/>
      <w:marTop w:val="0"/>
      <w:marBottom w:val="0"/>
      <w:divBdr>
        <w:top w:val="none" w:sz="0" w:space="0" w:color="auto"/>
        <w:left w:val="none" w:sz="0" w:space="0" w:color="auto"/>
        <w:bottom w:val="none" w:sz="0" w:space="0" w:color="auto"/>
        <w:right w:val="none" w:sz="0" w:space="0" w:color="auto"/>
      </w:divBdr>
    </w:div>
    <w:div w:id="1606428199">
      <w:bodyDiv w:val="1"/>
      <w:marLeft w:val="0"/>
      <w:marRight w:val="0"/>
      <w:marTop w:val="0"/>
      <w:marBottom w:val="0"/>
      <w:divBdr>
        <w:top w:val="none" w:sz="0" w:space="0" w:color="auto"/>
        <w:left w:val="none" w:sz="0" w:space="0" w:color="auto"/>
        <w:bottom w:val="none" w:sz="0" w:space="0" w:color="auto"/>
        <w:right w:val="none" w:sz="0" w:space="0" w:color="auto"/>
      </w:divBdr>
    </w:div>
    <w:div w:id="1621453280">
      <w:bodyDiv w:val="1"/>
      <w:marLeft w:val="0"/>
      <w:marRight w:val="0"/>
      <w:marTop w:val="0"/>
      <w:marBottom w:val="0"/>
      <w:divBdr>
        <w:top w:val="none" w:sz="0" w:space="0" w:color="auto"/>
        <w:left w:val="none" w:sz="0" w:space="0" w:color="auto"/>
        <w:bottom w:val="none" w:sz="0" w:space="0" w:color="auto"/>
        <w:right w:val="none" w:sz="0" w:space="0" w:color="auto"/>
      </w:divBdr>
    </w:div>
    <w:div w:id="1890610864">
      <w:bodyDiv w:val="1"/>
      <w:marLeft w:val="0"/>
      <w:marRight w:val="0"/>
      <w:marTop w:val="0"/>
      <w:marBottom w:val="0"/>
      <w:divBdr>
        <w:top w:val="none" w:sz="0" w:space="0" w:color="auto"/>
        <w:left w:val="none" w:sz="0" w:space="0" w:color="auto"/>
        <w:bottom w:val="none" w:sz="0" w:space="0" w:color="auto"/>
        <w:right w:val="none" w:sz="0" w:space="0" w:color="auto"/>
      </w:divBdr>
    </w:div>
    <w:div w:id="1941179545">
      <w:bodyDiv w:val="1"/>
      <w:marLeft w:val="0"/>
      <w:marRight w:val="0"/>
      <w:marTop w:val="0"/>
      <w:marBottom w:val="0"/>
      <w:divBdr>
        <w:top w:val="none" w:sz="0" w:space="0" w:color="auto"/>
        <w:left w:val="none" w:sz="0" w:space="0" w:color="auto"/>
        <w:bottom w:val="none" w:sz="0" w:space="0" w:color="auto"/>
        <w:right w:val="none" w:sz="0" w:space="0" w:color="auto"/>
      </w:divBdr>
    </w:div>
    <w:div w:id="2011175342">
      <w:bodyDiv w:val="1"/>
      <w:marLeft w:val="0"/>
      <w:marRight w:val="0"/>
      <w:marTop w:val="0"/>
      <w:marBottom w:val="0"/>
      <w:divBdr>
        <w:top w:val="none" w:sz="0" w:space="0" w:color="auto"/>
        <w:left w:val="none" w:sz="0" w:space="0" w:color="auto"/>
        <w:bottom w:val="none" w:sz="0" w:space="0" w:color="auto"/>
        <w:right w:val="none" w:sz="0" w:space="0" w:color="auto"/>
      </w:divBdr>
    </w:div>
    <w:div w:id="21071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Rajeski, Tyler</dc:creator>
  <cp:lastModifiedBy>Tyler</cp:lastModifiedBy>
  <cp:revision>2</cp:revision>
  <dcterms:created xsi:type="dcterms:W3CDTF">2015-04-06T22:13:00Z</dcterms:created>
  <dcterms:modified xsi:type="dcterms:W3CDTF">2015-04-06T22:13:00Z</dcterms:modified>
</cp:coreProperties>
</file>